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326F" w14:textId="584E2FC3" w:rsidR="003D06E7" w:rsidRDefault="00D23514">
      <w:pPr>
        <w:rPr>
          <w:rFonts w:cs="Arial"/>
          <w:sz w:val="8"/>
        </w:rPr>
        <w:sectPr w:rsidR="003D06E7">
          <w:headerReference w:type="default" r:id="rId12"/>
          <w:footerReference w:type="default" r:id="rId13"/>
          <w:headerReference w:type="first" r:id="rId14"/>
          <w:footerReference w:type="first" r:id="rId15"/>
          <w:type w:val="continuous"/>
          <w:pgSz w:w="12240" w:h="15840" w:code="1"/>
          <w:pgMar w:top="1440" w:right="1440" w:bottom="1440" w:left="1440" w:header="475" w:footer="432" w:gutter="0"/>
          <w:cols w:space="720"/>
          <w:titlePg/>
          <w:docGrid w:linePitch="360"/>
        </w:sectPr>
      </w:pPr>
      <w:r>
        <w:rPr>
          <w:rFonts w:cs="Arial"/>
          <w:sz w:val="8"/>
        </w:rPr>
        <w:t xml:space="preserve"> </w:t>
      </w:r>
    </w:p>
    <w:p w14:paraId="655DA796" w14:textId="77777777" w:rsidR="003D06E7" w:rsidRDefault="0014641F">
      <w:pPr>
        <w:rPr>
          <w:rFonts w:cs="Arial"/>
          <w:kern w:val="20"/>
        </w:rPr>
      </w:pPr>
      <w:r>
        <w:rPr>
          <w:rFonts w:cs="Arial"/>
          <w:b/>
          <w:kern w:val="20"/>
        </w:rPr>
        <w:t>DATE:</w:t>
      </w:r>
      <w:r>
        <w:rPr>
          <w:rFonts w:cs="Arial"/>
          <w:b/>
          <w:kern w:val="20"/>
        </w:rPr>
        <w:tab/>
      </w:r>
    </w:p>
    <w:p w14:paraId="54F30879" w14:textId="77777777" w:rsidR="003D06E7" w:rsidRDefault="003D06E7">
      <w:pPr>
        <w:rPr>
          <w:rFonts w:cs="Arial"/>
          <w:kern w:val="20"/>
        </w:rPr>
      </w:pPr>
    </w:p>
    <w:p w14:paraId="0A98E1C7" w14:textId="77777777" w:rsidR="003D06E7" w:rsidRDefault="0014641F">
      <w:pPr>
        <w:jc w:val="right"/>
        <w:rPr>
          <w:rFonts w:cs="Arial"/>
          <w:kern w:val="20"/>
        </w:rPr>
      </w:pPr>
      <w:r>
        <w:rPr>
          <w:rFonts w:cs="Arial"/>
          <w:kern w:val="20"/>
        </w:rPr>
        <w:t>ALL PLAN LETTER 22-XXX</w:t>
      </w:r>
    </w:p>
    <w:p w14:paraId="261A3E46" w14:textId="77777777" w:rsidR="003D06E7" w:rsidRDefault="003D06E7">
      <w:pPr>
        <w:ind w:left="1440" w:hanging="1440"/>
        <w:rPr>
          <w:rFonts w:cs="Arial"/>
          <w:kern w:val="20"/>
        </w:rPr>
      </w:pPr>
    </w:p>
    <w:p w14:paraId="57D3D8FF" w14:textId="77777777" w:rsidR="003D06E7" w:rsidRDefault="0014641F">
      <w:pPr>
        <w:ind w:left="1440" w:hanging="1440"/>
        <w:rPr>
          <w:rFonts w:cs="Arial"/>
          <w:kern w:val="20"/>
        </w:rPr>
      </w:pPr>
      <w:r>
        <w:rPr>
          <w:rFonts w:cs="Arial"/>
          <w:b/>
          <w:kern w:val="20"/>
        </w:rPr>
        <w:t>TO:</w:t>
      </w:r>
      <w:r>
        <w:rPr>
          <w:rFonts w:cs="Arial"/>
          <w:b/>
          <w:kern w:val="20"/>
        </w:rPr>
        <w:tab/>
      </w:r>
      <w:r>
        <w:rPr>
          <w:rFonts w:cs="Arial"/>
          <w:kern w:val="20"/>
        </w:rPr>
        <w:t>ALL MEDI-CAL MANAGED CARE HEALTH PLANS</w:t>
      </w:r>
    </w:p>
    <w:p w14:paraId="7538991B" w14:textId="77777777" w:rsidR="003D06E7" w:rsidRDefault="003D06E7">
      <w:pPr>
        <w:ind w:left="1440" w:hanging="1440"/>
        <w:rPr>
          <w:rFonts w:cs="Arial"/>
          <w:kern w:val="20"/>
        </w:rPr>
      </w:pPr>
    </w:p>
    <w:p w14:paraId="1756A549" w14:textId="77777777" w:rsidR="003D06E7" w:rsidRDefault="0014641F">
      <w:pPr>
        <w:ind w:left="1440" w:hanging="1440"/>
        <w:rPr>
          <w:rFonts w:cs="Arial"/>
          <w:kern w:val="20"/>
        </w:rPr>
      </w:pPr>
      <w:r>
        <w:rPr>
          <w:rFonts w:cs="Arial"/>
          <w:b/>
          <w:kern w:val="20"/>
        </w:rPr>
        <w:t>SUBJECT:</w:t>
      </w:r>
      <w:r>
        <w:rPr>
          <w:rFonts w:cs="Arial"/>
          <w:b/>
          <w:kern w:val="20"/>
        </w:rPr>
        <w:tab/>
      </w:r>
      <w:r>
        <w:rPr>
          <w:rFonts w:cs="Arial"/>
          <w:kern w:val="20"/>
        </w:rPr>
        <w:t>TIMELY ACCESS REQUIREMENTS</w:t>
      </w:r>
    </w:p>
    <w:p w14:paraId="720F9A63" w14:textId="77777777" w:rsidR="003D06E7" w:rsidRDefault="003D06E7">
      <w:pPr>
        <w:ind w:left="1440" w:hanging="1440"/>
        <w:rPr>
          <w:rFonts w:cs="Arial"/>
          <w:kern w:val="20"/>
        </w:rPr>
      </w:pPr>
    </w:p>
    <w:p w14:paraId="5BA2C2FF" w14:textId="77777777" w:rsidR="003D06E7" w:rsidRDefault="0014641F">
      <w:pPr>
        <w:ind w:left="1440" w:hanging="1440"/>
        <w:rPr>
          <w:rFonts w:cs="Arial"/>
          <w:kern w:val="20"/>
        </w:rPr>
      </w:pPr>
      <w:r>
        <w:rPr>
          <w:rFonts w:cs="Arial"/>
          <w:b/>
          <w:kern w:val="20"/>
        </w:rPr>
        <w:t>PURPOSE:</w:t>
      </w:r>
    </w:p>
    <w:p w14:paraId="0E1F945F" w14:textId="5FCC18B5" w:rsidR="003D06E7" w:rsidRDefault="0014641F">
      <w:pPr>
        <w:rPr>
          <w:rFonts w:cs="Arial"/>
          <w:kern w:val="20"/>
        </w:rPr>
      </w:pPr>
      <w:r>
        <w:rPr>
          <w:rFonts w:cs="Arial"/>
          <w:kern w:val="20"/>
        </w:rPr>
        <w:t>The purpose of this All Plan Letter (APL) is to provide Medi-Cal managed care health plans (MCP) guidance on the ongoing requirement to meet timely access standards</w:t>
      </w:r>
      <w:r w:rsidR="00BF6826">
        <w:rPr>
          <w:rFonts w:cs="Arial"/>
          <w:kern w:val="20"/>
        </w:rPr>
        <w:t xml:space="preserve"> and new requirements </w:t>
      </w:r>
      <w:r w:rsidR="00EE28C1">
        <w:rPr>
          <w:rFonts w:cs="Arial"/>
          <w:kern w:val="20"/>
        </w:rPr>
        <w:t xml:space="preserve">in Health and Safety Code </w:t>
      </w:r>
      <w:r w:rsidR="005B4CE6">
        <w:rPr>
          <w:rFonts w:cs="Arial"/>
          <w:kern w:val="20"/>
        </w:rPr>
        <w:t xml:space="preserve">(HSC) section </w:t>
      </w:r>
      <w:r w:rsidR="00EE28C1">
        <w:rPr>
          <w:rFonts w:cs="Arial"/>
          <w:kern w:val="20"/>
        </w:rPr>
        <w:t xml:space="preserve">1367.03 as </w:t>
      </w:r>
      <w:r w:rsidR="00A05300">
        <w:rPr>
          <w:rFonts w:cs="Arial"/>
          <w:kern w:val="20"/>
        </w:rPr>
        <w:t>set forth by</w:t>
      </w:r>
      <w:r w:rsidR="00EE28C1">
        <w:rPr>
          <w:rFonts w:cs="Arial"/>
          <w:kern w:val="20"/>
        </w:rPr>
        <w:t xml:space="preserve"> </w:t>
      </w:r>
      <w:r w:rsidR="00A05300">
        <w:rPr>
          <w:rFonts w:cs="Arial"/>
          <w:kern w:val="20"/>
        </w:rPr>
        <w:t>Senate Bill (SB) 221</w:t>
      </w:r>
      <w:r w:rsidR="00C50AE7">
        <w:rPr>
          <w:rFonts w:cs="Arial"/>
          <w:kern w:val="20"/>
        </w:rPr>
        <w:t>.</w:t>
      </w:r>
      <w:r w:rsidR="00B041E7">
        <w:rPr>
          <w:rStyle w:val="FootnoteReference"/>
          <w:rFonts w:cs="Arial"/>
          <w:kern w:val="20"/>
        </w:rPr>
        <w:footnoteReference w:id="1"/>
      </w:r>
      <w:r>
        <w:rPr>
          <w:rFonts w:cs="Arial"/>
          <w:kern w:val="20"/>
        </w:rPr>
        <w:t xml:space="preserve"> Additionally, the APL outlines the required compliance thresholds as set by the Department of Health Care Services (DHCS) beginning measurement year 2022 for the Timely Access Survey.</w:t>
      </w:r>
      <w:r>
        <w:rPr>
          <w:rFonts w:cs="Arial"/>
          <w:kern w:val="20"/>
          <w:vertAlign w:val="superscript"/>
        </w:rPr>
        <w:t xml:space="preserve"> </w:t>
      </w:r>
      <w:r>
        <w:rPr>
          <w:rFonts w:cs="Arial"/>
          <w:kern w:val="20"/>
          <w:vertAlign w:val="superscript"/>
        </w:rPr>
        <w:footnoteReference w:id="2"/>
      </w:r>
      <w:r>
        <w:rPr>
          <w:rFonts w:cs="Arial"/>
          <w:kern w:val="20"/>
        </w:rPr>
        <w:t xml:space="preserve"> </w:t>
      </w:r>
    </w:p>
    <w:p w14:paraId="6C8BAAEB" w14:textId="77777777" w:rsidR="003D06E7" w:rsidRDefault="003D06E7">
      <w:pPr>
        <w:rPr>
          <w:rStyle w:val="FootnoteReference"/>
        </w:rPr>
      </w:pPr>
    </w:p>
    <w:p w14:paraId="4528F23B" w14:textId="77777777" w:rsidR="003D06E7" w:rsidRDefault="0014641F">
      <w:pPr>
        <w:rPr>
          <w:rFonts w:cs="Arial"/>
          <w:kern w:val="20"/>
        </w:rPr>
      </w:pPr>
      <w:r>
        <w:rPr>
          <w:rFonts w:cs="Arial"/>
          <w:b/>
          <w:kern w:val="20"/>
        </w:rPr>
        <w:t>BACKGROUND:</w:t>
      </w:r>
    </w:p>
    <w:p w14:paraId="3FFD5EE1" w14:textId="289AE1A2" w:rsidR="003D06E7" w:rsidRDefault="0014641F">
      <w:pPr>
        <w:rPr>
          <w:rFonts w:cs="Arial"/>
        </w:rPr>
      </w:pPr>
      <w:r>
        <w:rPr>
          <w:rFonts w:cs="Arial"/>
        </w:rPr>
        <w:t>MCPs are required to provide timely access to care outlined in the Knox-Keene Health Care Service Act,</w:t>
      </w:r>
      <w:r>
        <w:rPr>
          <w:rStyle w:val="FootnoteReference"/>
          <w:rFonts w:cs="Arial"/>
        </w:rPr>
        <w:footnoteReference w:id="3"/>
      </w:r>
      <w:r>
        <w:rPr>
          <w:rFonts w:cs="Arial"/>
        </w:rPr>
        <w:t xml:space="preserve"> California Code of Regulations (CCR),</w:t>
      </w:r>
      <w:r>
        <w:rPr>
          <w:rStyle w:val="FootnoteReference"/>
          <w:rFonts w:cs="Arial"/>
        </w:rPr>
        <w:footnoteReference w:id="4"/>
      </w:r>
      <w:r>
        <w:rPr>
          <w:rFonts w:cs="Arial"/>
        </w:rPr>
        <w:t xml:space="preserve"> and the MCP contract.</w:t>
      </w:r>
      <w:r>
        <w:rPr>
          <w:rStyle w:val="FootnoteReference"/>
          <w:rFonts w:cs="Arial"/>
        </w:rPr>
        <w:footnoteReference w:id="5"/>
      </w:r>
      <w:r>
        <w:rPr>
          <w:rFonts w:cs="Arial"/>
        </w:rPr>
        <w:t xml:space="preserve"> The Code of Federal Regulations (CFR) requires DHCS to ensure that MCPs meet all applicable standards for timely access to health care services, including any specific compliance thresholds determined by the State.</w:t>
      </w:r>
      <w:r>
        <w:rPr>
          <w:rStyle w:val="FootnoteReference"/>
          <w:rFonts w:cs="Arial"/>
        </w:rPr>
        <w:footnoteReference w:id="6"/>
      </w:r>
      <w:r w:rsidR="005B4CE6" w:rsidRPr="005B4CE6">
        <w:rPr>
          <w:rFonts w:cs="Arial"/>
          <w:vertAlign w:val="superscript"/>
        </w:rPr>
        <w:t>,</w:t>
      </w:r>
      <w:r w:rsidR="005B4CE6">
        <w:rPr>
          <w:rFonts w:cs="Arial"/>
        </w:rPr>
        <w:t xml:space="preserve"> </w:t>
      </w:r>
      <w:r w:rsidR="005B4CE6">
        <w:rPr>
          <w:rStyle w:val="FootnoteReference"/>
          <w:rFonts w:cs="Arial"/>
        </w:rPr>
        <w:footnoteReference w:id="7"/>
      </w:r>
      <w:r w:rsidR="00BF6826">
        <w:rPr>
          <w:rFonts w:cs="Arial"/>
        </w:rPr>
        <w:t xml:space="preserve"> </w:t>
      </w:r>
      <w:r w:rsidR="00B83B7B">
        <w:rPr>
          <w:rFonts w:cs="Arial"/>
        </w:rPr>
        <w:t xml:space="preserve">Furthermore, SB 221 (Weiner, Chapter 724, Statutes of 2021) codified additional timely access standards, with which all MCPs must comply, for non-urgent follow-up appointments with non-physician mental health care providers, referrals to a specialist by a primary care provider or </w:t>
      </w:r>
      <w:r w:rsidR="00B83B7B">
        <w:rPr>
          <w:rFonts w:cs="Arial"/>
        </w:rPr>
        <w:lastRenderedPageBreak/>
        <w:t>another specialist, and arrangement of coverage with an out-of-network (OON) non-physician mental health care provider when timely access standards are not met.</w:t>
      </w:r>
      <w:r w:rsidR="00B83B7B">
        <w:rPr>
          <w:rStyle w:val="FootnoteReference"/>
          <w:rFonts w:cs="Arial"/>
        </w:rPr>
        <w:footnoteReference w:id="8"/>
      </w:r>
      <w:r w:rsidR="00B83B7B">
        <w:rPr>
          <w:rFonts w:cs="Arial"/>
        </w:rPr>
        <w:t xml:space="preserve"> </w:t>
      </w:r>
    </w:p>
    <w:p w14:paraId="1D8DECEE" w14:textId="77777777" w:rsidR="00DF55C9" w:rsidRDefault="00DF55C9">
      <w:pPr>
        <w:rPr>
          <w:rFonts w:cs="Arial"/>
        </w:rPr>
      </w:pPr>
    </w:p>
    <w:p w14:paraId="3FF830C8" w14:textId="534A4EBA" w:rsidR="003D06E7" w:rsidRDefault="0014641F">
      <w:pPr>
        <w:rPr>
          <w:rFonts w:cs="Arial"/>
        </w:rPr>
      </w:pPr>
      <w:r>
        <w:rPr>
          <w:rFonts w:cs="Arial"/>
        </w:rPr>
        <w:t xml:space="preserve">Timely access compliance </w:t>
      </w:r>
      <w:r w:rsidR="00DF55C9">
        <w:rPr>
          <w:rFonts w:cs="Arial"/>
        </w:rPr>
        <w:t xml:space="preserve">rates are </w:t>
      </w:r>
      <w:r>
        <w:rPr>
          <w:rFonts w:cs="Arial"/>
        </w:rPr>
        <w:t xml:space="preserve">assessed annually and the results are </w:t>
      </w:r>
      <w:r w:rsidR="00DF55C9">
        <w:rPr>
          <w:rFonts w:cs="Arial"/>
        </w:rPr>
        <w:t xml:space="preserve">included in the Annual Network Certification </w:t>
      </w:r>
      <w:r w:rsidR="00BF6826">
        <w:rPr>
          <w:rFonts w:cs="Arial"/>
        </w:rPr>
        <w:t>that is</w:t>
      </w:r>
      <w:r w:rsidR="00DF55C9">
        <w:rPr>
          <w:rFonts w:cs="Arial"/>
        </w:rPr>
        <w:t xml:space="preserve"> </w:t>
      </w:r>
      <w:r>
        <w:rPr>
          <w:rFonts w:cs="Arial"/>
        </w:rPr>
        <w:t xml:space="preserve">submitted to the Centers for Medicare and Medicaid Services in accordance with 42 CFR </w:t>
      </w:r>
      <w:r w:rsidR="000972C1">
        <w:rPr>
          <w:rFonts w:cs="Arial"/>
        </w:rPr>
        <w:t xml:space="preserve">section </w:t>
      </w:r>
      <w:r>
        <w:rPr>
          <w:rFonts w:cs="Arial"/>
        </w:rPr>
        <w:t>438.207(d).</w:t>
      </w:r>
      <w:r w:rsidR="00DF55C9" w:rsidRPr="00DF55C9">
        <w:rPr>
          <w:rStyle w:val="FootnoteReference"/>
          <w:rFonts w:cs="Arial"/>
        </w:rPr>
        <w:t xml:space="preserve"> </w:t>
      </w:r>
      <w:r w:rsidR="00DF55C9">
        <w:rPr>
          <w:rStyle w:val="FootnoteReference"/>
          <w:rFonts w:cs="Arial"/>
        </w:rPr>
        <w:footnoteReference w:id="9"/>
      </w:r>
      <w:r>
        <w:rPr>
          <w:rFonts w:cs="Arial"/>
        </w:rPr>
        <w:t xml:space="preserve"> To assess compliance with timely access standards, DHCS administers a Timely Access Survey annually to determine the rate of compliance w</w:t>
      </w:r>
      <w:r w:rsidR="00EC31AB">
        <w:rPr>
          <w:rFonts w:cs="Arial"/>
        </w:rPr>
        <w:t>ith the timely access standards</w:t>
      </w:r>
      <w:r w:rsidR="00056A8F">
        <w:rPr>
          <w:rFonts w:cs="Arial"/>
        </w:rPr>
        <w:t xml:space="preserve"> outlined in the table below</w:t>
      </w:r>
      <w:r w:rsidR="00EC31AB">
        <w:rPr>
          <w:rFonts w:cs="Arial"/>
        </w:rPr>
        <w:t>, a</w:t>
      </w:r>
      <w:r w:rsidR="00056A8F">
        <w:rPr>
          <w:rFonts w:cs="Arial"/>
        </w:rPr>
        <w:t xml:space="preserve">s well as compliance for awareness of interpretation services at provider offices and </w:t>
      </w:r>
      <w:r w:rsidR="00DF55C9">
        <w:rPr>
          <w:rFonts w:cs="Arial"/>
        </w:rPr>
        <w:t xml:space="preserve">MCP </w:t>
      </w:r>
      <w:r w:rsidR="00056A8F">
        <w:rPr>
          <w:rFonts w:cs="Arial"/>
        </w:rPr>
        <w:t>member service</w:t>
      </w:r>
      <w:r w:rsidR="00DF55C9">
        <w:rPr>
          <w:rFonts w:cs="Arial"/>
        </w:rPr>
        <w:t>s</w:t>
      </w:r>
      <w:r w:rsidR="00056A8F">
        <w:rPr>
          <w:rFonts w:cs="Arial"/>
        </w:rPr>
        <w:t xml:space="preserve"> line.</w:t>
      </w:r>
      <w:r w:rsidR="00EC31AB" w:rsidRPr="00EC31AB">
        <w:rPr>
          <w:rFonts w:cs="Arial"/>
          <w:vertAlign w:val="superscript"/>
        </w:rPr>
        <w:footnoteReference w:id="10"/>
      </w:r>
      <w:r w:rsidR="00056A8F">
        <w:rPr>
          <w:rFonts w:cs="Arial"/>
        </w:rPr>
        <w:t xml:space="preserve"> </w:t>
      </w:r>
    </w:p>
    <w:p w14:paraId="2F744B1D" w14:textId="77777777" w:rsidR="003D06E7" w:rsidRDefault="003D06E7">
      <w:pPr>
        <w:rPr>
          <w:rFonts w:cs="Arial"/>
        </w:rPr>
      </w:pPr>
    </w:p>
    <w:p w14:paraId="1B7264F0" w14:textId="380045CD" w:rsidR="003D06E7" w:rsidRDefault="00DF55C9">
      <w:pPr>
        <w:rPr>
          <w:rFonts w:cs="Arial"/>
        </w:rPr>
      </w:pPr>
      <w:r>
        <w:rPr>
          <w:rFonts w:cs="Arial"/>
        </w:rPr>
        <w:t>DHCS conducts t</w:t>
      </w:r>
      <w:r w:rsidR="0014641F">
        <w:rPr>
          <w:rFonts w:cs="Arial"/>
        </w:rPr>
        <w:t xml:space="preserve">he Timely Access Survey </w:t>
      </w:r>
      <w:r w:rsidR="00056A8F">
        <w:rPr>
          <w:rFonts w:cs="Arial"/>
        </w:rPr>
        <w:t>by</w:t>
      </w:r>
      <w:r w:rsidR="0014641F">
        <w:rPr>
          <w:rFonts w:cs="Arial"/>
        </w:rPr>
        <w:t xml:space="preserve"> contacting provider offices</w:t>
      </w:r>
      <w:r>
        <w:rPr>
          <w:rFonts w:cs="Arial"/>
        </w:rPr>
        <w:t xml:space="preserve">, MCP member services </w:t>
      </w:r>
      <w:r w:rsidR="00157619">
        <w:rPr>
          <w:rFonts w:cs="Arial"/>
        </w:rPr>
        <w:t>lines</w:t>
      </w:r>
      <w:r>
        <w:rPr>
          <w:rFonts w:cs="Arial"/>
        </w:rPr>
        <w:t>, and nurse triage lines</w:t>
      </w:r>
      <w:r w:rsidR="0014641F">
        <w:rPr>
          <w:rFonts w:cs="Arial"/>
        </w:rPr>
        <w:t xml:space="preserve"> </w:t>
      </w:r>
      <w:r w:rsidR="00056A8F">
        <w:rPr>
          <w:rFonts w:cs="Arial"/>
        </w:rPr>
        <w:t xml:space="preserve">throughout the year </w:t>
      </w:r>
      <w:r w:rsidR="0014641F">
        <w:rPr>
          <w:rFonts w:cs="Arial"/>
        </w:rPr>
        <w:t>using the MCP’s 274 provider data</w:t>
      </w:r>
      <w:r w:rsidR="00122A52">
        <w:rPr>
          <w:rFonts w:cs="Arial"/>
        </w:rPr>
        <w:t xml:space="preserve"> that is submitted </w:t>
      </w:r>
      <w:r w:rsidR="00DE3F77">
        <w:rPr>
          <w:rFonts w:cs="Arial"/>
        </w:rPr>
        <w:t xml:space="preserve">to DHCS </w:t>
      </w:r>
      <w:r w:rsidR="00122A52">
        <w:rPr>
          <w:rFonts w:cs="Arial"/>
        </w:rPr>
        <w:t>monthly</w:t>
      </w:r>
      <w:r w:rsidR="00BF6FA0">
        <w:rPr>
          <w:rFonts w:cs="Arial"/>
        </w:rPr>
        <w:t>.</w:t>
      </w:r>
      <w:r w:rsidR="00BF6FA0">
        <w:rPr>
          <w:rStyle w:val="FootnoteReference"/>
          <w:rFonts w:cs="Arial"/>
        </w:rPr>
        <w:footnoteReference w:id="11"/>
      </w:r>
      <w:r w:rsidR="00122A52">
        <w:rPr>
          <w:rFonts w:cs="Arial"/>
        </w:rPr>
        <w:t xml:space="preserve"> </w:t>
      </w:r>
      <w:r w:rsidR="00BF6FA0">
        <w:rPr>
          <w:rFonts w:cs="Arial"/>
        </w:rPr>
        <w:t xml:space="preserve">DHCS will </w:t>
      </w:r>
      <w:r w:rsidR="00122A52">
        <w:rPr>
          <w:rFonts w:cs="Arial"/>
        </w:rPr>
        <w:t xml:space="preserve">specify which data month will be used for </w:t>
      </w:r>
      <w:r w:rsidR="00F17B27">
        <w:rPr>
          <w:rFonts w:cs="Arial"/>
        </w:rPr>
        <w:t>the survey cal</w:t>
      </w:r>
      <w:r w:rsidR="00122A52">
        <w:rPr>
          <w:rFonts w:cs="Arial"/>
        </w:rPr>
        <w:t xml:space="preserve">ls prior to the beginning of every </w:t>
      </w:r>
      <w:r w:rsidR="00DE3F77">
        <w:rPr>
          <w:rFonts w:cs="Arial"/>
        </w:rPr>
        <w:t xml:space="preserve">annual </w:t>
      </w:r>
      <w:r w:rsidR="00122A52">
        <w:rPr>
          <w:rFonts w:cs="Arial"/>
        </w:rPr>
        <w:t xml:space="preserve">survey. </w:t>
      </w:r>
      <w:r>
        <w:rPr>
          <w:rFonts w:cs="Arial"/>
        </w:rPr>
        <w:t xml:space="preserve">To </w:t>
      </w:r>
      <w:r w:rsidR="00157619">
        <w:rPr>
          <w:rFonts w:cs="Arial"/>
        </w:rPr>
        <w:t>collect</w:t>
      </w:r>
      <w:r>
        <w:rPr>
          <w:rFonts w:cs="Arial"/>
        </w:rPr>
        <w:t xml:space="preserve"> appointment </w:t>
      </w:r>
      <w:r w:rsidR="00B83B7B">
        <w:rPr>
          <w:rFonts w:cs="Arial"/>
        </w:rPr>
        <w:t xml:space="preserve">wait </w:t>
      </w:r>
      <w:r>
        <w:rPr>
          <w:rFonts w:cs="Arial"/>
        </w:rPr>
        <w:t>time</w:t>
      </w:r>
      <w:r w:rsidR="00B83B7B">
        <w:rPr>
          <w:rFonts w:cs="Arial"/>
        </w:rPr>
        <w:t>s</w:t>
      </w:r>
      <w:r>
        <w:rPr>
          <w:rFonts w:cs="Arial"/>
        </w:rPr>
        <w:t>, p</w:t>
      </w:r>
      <w:r w:rsidR="00C01699">
        <w:rPr>
          <w:rFonts w:cs="Arial"/>
        </w:rPr>
        <w:t xml:space="preserve">roviders </w:t>
      </w:r>
      <w:r w:rsidR="0014641F">
        <w:rPr>
          <w:rFonts w:cs="Arial"/>
        </w:rPr>
        <w:t>are asked to confirm the next available appointments and</w:t>
      </w:r>
      <w:r w:rsidR="00585480">
        <w:rPr>
          <w:rFonts w:cs="Arial"/>
        </w:rPr>
        <w:t xml:space="preserve"> </w:t>
      </w:r>
      <w:r w:rsidR="0014641F">
        <w:rPr>
          <w:rFonts w:cs="Arial"/>
        </w:rPr>
        <w:t xml:space="preserve">must respond to other questions related to language, interpretation services, and telehealth services. </w:t>
      </w:r>
      <w:r w:rsidR="00585480">
        <w:rPr>
          <w:rFonts w:cs="Arial"/>
        </w:rPr>
        <w:t xml:space="preserve">Additionally, </w:t>
      </w:r>
      <w:r>
        <w:rPr>
          <w:rFonts w:cs="Arial"/>
        </w:rPr>
        <w:t xml:space="preserve">MCP member services staff must </w:t>
      </w:r>
      <w:r w:rsidR="00585480">
        <w:rPr>
          <w:rFonts w:cs="Arial"/>
        </w:rPr>
        <w:t xml:space="preserve">also </w:t>
      </w:r>
      <w:r>
        <w:rPr>
          <w:rFonts w:cs="Arial"/>
        </w:rPr>
        <w:t>respond to questions related to language</w:t>
      </w:r>
      <w:r w:rsidR="00585480">
        <w:rPr>
          <w:rFonts w:cs="Arial"/>
        </w:rPr>
        <w:t>, interpretation,</w:t>
      </w:r>
      <w:r>
        <w:rPr>
          <w:rFonts w:cs="Arial"/>
        </w:rPr>
        <w:t xml:space="preserve"> and telehealth services. DHCS </w:t>
      </w:r>
      <w:r w:rsidR="00157619">
        <w:rPr>
          <w:rFonts w:cs="Arial"/>
        </w:rPr>
        <w:t xml:space="preserve">also </w:t>
      </w:r>
      <w:r>
        <w:rPr>
          <w:rFonts w:cs="Arial"/>
        </w:rPr>
        <w:t xml:space="preserve">verifies the wait times for the </w:t>
      </w:r>
      <w:r w:rsidR="00157619">
        <w:rPr>
          <w:rFonts w:cs="Arial"/>
        </w:rPr>
        <w:t xml:space="preserve">MCP member services line and </w:t>
      </w:r>
      <w:r>
        <w:rPr>
          <w:rFonts w:cs="Arial"/>
        </w:rPr>
        <w:t xml:space="preserve">nurse triage line. </w:t>
      </w:r>
      <w:r w:rsidR="00370F10">
        <w:rPr>
          <w:rFonts w:cs="Arial"/>
        </w:rPr>
        <w:t xml:space="preserve">DHCS provides MCP-level </w:t>
      </w:r>
      <w:r w:rsidR="008A5A02">
        <w:rPr>
          <w:rFonts w:cs="Arial"/>
        </w:rPr>
        <w:t xml:space="preserve">Timely Access Survey </w:t>
      </w:r>
      <w:r w:rsidR="009B3657">
        <w:rPr>
          <w:rFonts w:cs="Arial"/>
        </w:rPr>
        <w:t>results</w:t>
      </w:r>
      <w:r w:rsidR="00370F10">
        <w:rPr>
          <w:rFonts w:cs="Arial"/>
        </w:rPr>
        <w:t xml:space="preserve"> to each MCP</w:t>
      </w:r>
      <w:r w:rsidR="00A6106E">
        <w:rPr>
          <w:rFonts w:cs="Arial"/>
        </w:rPr>
        <w:t xml:space="preserve"> quarterly and the </w:t>
      </w:r>
      <w:r w:rsidR="00056A8F">
        <w:rPr>
          <w:rFonts w:cs="Arial"/>
        </w:rPr>
        <w:t xml:space="preserve">annual result in the </w:t>
      </w:r>
      <w:r w:rsidR="00A6106E">
        <w:rPr>
          <w:rFonts w:cs="Arial"/>
        </w:rPr>
        <w:t>fourth quarter</w:t>
      </w:r>
      <w:r w:rsidR="008A5A02">
        <w:rPr>
          <w:rFonts w:cs="Arial"/>
        </w:rPr>
        <w:t xml:space="preserve">. </w:t>
      </w:r>
    </w:p>
    <w:p w14:paraId="0E971705" w14:textId="77777777" w:rsidR="003D06E7" w:rsidRDefault="003D06E7">
      <w:pPr>
        <w:rPr>
          <w:rFonts w:cs="Arial"/>
          <w:kern w:val="20"/>
        </w:rPr>
      </w:pPr>
    </w:p>
    <w:p w14:paraId="555AC766" w14:textId="77777777" w:rsidR="003D06E7" w:rsidRDefault="0014641F">
      <w:pPr>
        <w:rPr>
          <w:rFonts w:cs="Arial"/>
          <w:b/>
          <w:kern w:val="20"/>
        </w:rPr>
      </w:pPr>
      <w:r>
        <w:rPr>
          <w:rFonts w:cs="Arial"/>
          <w:b/>
          <w:kern w:val="20"/>
        </w:rPr>
        <w:t>POLICY:</w:t>
      </w:r>
    </w:p>
    <w:p w14:paraId="16A070D2" w14:textId="77777777" w:rsidR="003D06E7" w:rsidRDefault="003D06E7">
      <w:pPr>
        <w:rPr>
          <w:rFonts w:cs="Arial"/>
          <w:kern w:val="20"/>
        </w:rPr>
      </w:pPr>
    </w:p>
    <w:p w14:paraId="2414D6D2" w14:textId="77777777" w:rsidR="003D06E7" w:rsidRDefault="0014641F">
      <w:pPr>
        <w:rPr>
          <w:rFonts w:cs="Arial"/>
          <w:b/>
          <w:kern w:val="20"/>
          <w:u w:val="single"/>
        </w:rPr>
      </w:pPr>
      <w:r>
        <w:rPr>
          <w:rFonts w:cs="Arial"/>
          <w:b/>
          <w:kern w:val="20"/>
          <w:u w:val="single"/>
        </w:rPr>
        <w:t>Timely Access Standards</w:t>
      </w:r>
    </w:p>
    <w:p w14:paraId="4E820869" w14:textId="47243403" w:rsidR="003D06E7" w:rsidRDefault="0014641F">
      <w:pPr>
        <w:rPr>
          <w:rFonts w:cs="Arial"/>
          <w:kern w:val="20"/>
          <w:vertAlign w:val="superscript"/>
        </w:rPr>
      </w:pPr>
      <w:r>
        <w:rPr>
          <w:rFonts w:cs="Arial"/>
          <w:kern w:val="20"/>
        </w:rPr>
        <w:t xml:space="preserve">MCPs are required to ensure </w:t>
      </w:r>
      <w:r w:rsidR="00B83B7B">
        <w:rPr>
          <w:rFonts w:cs="Arial"/>
          <w:kern w:val="20"/>
        </w:rPr>
        <w:t xml:space="preserve">compliance with </w:t>
      </w:r>
      <w:r>
        <w:rPr>
          <w:rFonts w:cs="Arial"/>
          <w:kern w:val="20"/>
        </w:rPr>
        <w:t>timely access standards</w:t>
      </w:r>
      <w:r w:rsidR="007E523D">
        <w:rPr>
          <w:rFonts w:cs="Arial"/>
          <w:kern w:val="20"/>
        </w:rPr>
        <w:t xml:space="preserve"> including the availability of interpretation services</w:t>
      </w:r>
      <w:r>
        <w:rPr>
          <w:rFonts w:cs="Arial"/>
          <w:kern w:val="20"/>
        </w:rPr>
        <w:t xml:space="preserve">. The </w:t>
      </w:r>
      <w:r w:rsidR="00B55021">
        <w:rPr>
          <w:rFonts w:cs="Arial"/>
          <w:kern w:val="20"/>
        </w:rPr>
        <w:t xml:space="preserve">contractually </w:t>
      </w:r>
      <w:r>
        <w:rPr>
          <w:rFonts w:cs="Arial"/>
          <w:kern w:val="20"/>
        </w:rPr>
        <w:t xml:space="preserve">required timely access standards are outlined in the </w:t>
      </w:r>
      <w:r w:rsidR="00D22008">
        <w:rPr>
          <w:rFonts w:cs="Arial"/>
          <w:kern w:val="20"/>
        </w:rPr>
        <w:t xml:space="preserve">Timely Access Standards Chart </w:t>
      </w:r>
      <w:r>
        <w:rPr>
          <w:rFonts w:cs="Arial"/>
          <w:kern w:val="20"/>
        </w:rPr>
        <w:t>below</w:t>
      </w:r>
      <w:r w:rsidR="007E523D">
        <w:rPr>
          <w:rFonts w:cs="Arial"/>
          <w:kern w:val="20"/>
        </w:rPr>
        <w:t>.</w:t>
      </w:r>
      <w:r>
        <w:rPr>
          <w:rStyle w:val="FootnoteReference"/>
          <w:rFonts w:cs="Arial"/>
          <w:kern w:val="20"/>
        </w:rPr>
        <w:footnoteReference w:id="12"/>
      </w:r>
      <w:r>
        <w:rPr>
          <w:rFonts w:cs="Arial"/>
          <w:kern w:val="20"/>
          <w:vertAlign w:val="superscript"/>
        </w:rPr>
        <w:t xml:space="preserve">, </w:t>
      </w:r>
      <w:r>
        <w:rPr>
          <w:rStyle w:val="FootnoteReference"/>
          <w:rFonts w:cs="Arial"/>
          <w:kern w:val="20"/>
        </w:rPr>
        <w:footnoteReference w:id="13"/>
      </w:r>
    </w:p>
    <w:p w14:paraId="2B1EF6C6" w14:textId="03EA89F9" w:rsidR="00D22008" w:rsidRDefault="00D22008"/>
    <w:p w14:paraId="665F4621" w14:textId="3FA4AA1D" w:rsidR="00BF6826" w:rsidRPr="00FB41F5" w:rsidRDefault="00D22008">
      <w:pPr>
        <w:rPr>
          <w:b/>
        </w:rPr>
      </w:pPr>
      <w:r w:rsidRPr="00FB41F5">
        <w:rPr>
          <w:b/>
        </w:rPr>
        <w:lastRenderedPageBreak/>
        <w:t>Timely Access Standards Chart</w:t>
      </w:r>
    </w:p>
    <w:tbl>
      <w:tblPr>
        <w:tblStyle w:val="TableGrid"/>
        <w:tblW w:w="0" w:type="auto"/>
        <w:tblLook w:val="04A0" w:firstRow="1" w:lastRow="0" w:firstColumn="1" w:lastColumn="0" w:noHBand="0" w:noVBand="1"/>
      </w:tblPr>
      <w:tblGrid>
        <w:gridCol w:w="3096"/>
        <w:gridCol w:w="3872"/>
        <w:gridCol w:w="2382"/>
      </w:tblGrid>
      <w:tr w:rsidR="00804B5F" w14:paraId="0EEFD961" w14:textId="77777777" w:rsidTr="00FB41F5">
        <w:trPr>
          <w:trHeight w:val="386"/>
        </w:trPr>
        <w:tc>
          <w:tcPr>
            <w:tcW w:w="3096" w:type="dxa"/>
          </w:tcPr>
          <w:p w14:paraId="7DDCE9B4" w14:textId="07D0E6EF" w:rsidR="00804B5F" w:rsidRDefault="00804B5F" w:rsidP="007E0A26">
            <w:pPr>
              <w:pStyle w:val="Default"/>
              <w:rPr>
                <w:b/>
              </w:rPr>
            </w:pPr>
            <w:r>
              <w:rPr>
                <w:b/>
              </w:rPr>
              <w:t>Provider Type</w:t>
            </w:r>
          </w:p>
        </w:tc>
        <w:tc>
          <w:tcPr>
            <w:tcW w:w="3872" w:type="dxa"/>
          </w:tcPr>
          <w:p w14:paraId="4F25F90C" w14:textId="21CE2E8F" w:rsidR="00804B5F" w:rsidRDefault="00804B5F" w:rsidP="00FB41F5">
            <w:pPr>
              <w:pStyle w:val="Default"/>
              <w:rPr>
                <w:b/>
              </w:rPr>
            </w:pPr>
            <w:r>
              <w:rPr>
                <w:b/>
              </w:rPr>
              <w:t>Appointment Type</w:t>
            </w:r>
          </w:p>
        </w:tc>
        <w:tc>
          <w:tcPr>
            <w:tcW w:w="2382" w:type="dxa"/>
          </w:tcPr>
          <w:p w14:paraId="7ED00F82" w14:textId="489F9D55" w:rsidR="00804B5F" w:rsidRDefault="00454BCB" w:rsidP="00FB41F5">
            <w:pPr>
              <w:pStyle w:val="Default"/>
              <w:rPr>
                <w:b/>
              </w:rPr>
            </w:pPr>
            <w:r>
              <w:rPr>
                <w:b/>
              </w:rPr>
              <w:t>Timely Access Standard</w:t>
            </w:r>
            <w:r w:rsidR="00D22008">
              <w:rPr>
                <w:rStyle w:val="FootnoteReference"/>
                <w:b/>
              </w:rPr>
              <w:footnoteReference w:id="14"/>
            </w:r>
            <w:r>
              <w:rPr>
                <w:b/>
              </w:rPr>
              <w:t xml:space="preserve"> </w:t>
            </w:r>
          </w:p>
        </w:tc>
      </w:tr>
      <w:tr w:rsidR="00804B5F" w14:paraId="7D959E8D" w14:textId="77777777" w:rsidTr="00CF1032">
        <w:tc>
          <w:tcPr>
            <w:tcW w:w="3096" w:type="dxa"/>
          </w:tcPr>
          <w:p w14:paraId="29B517EE" w14:textId="149A3123" w:rsidR="00804B5F" w:rsidRDefault="00804B5F">
            <w:pPr>
              <w:pStyle w:val="Default"/>
            </w:pPr>
            <w:r>
              <w:t>PCP</w:t>
            </w:r>
          </w:p>
        </w:tc>
        <w:tc>
          <w:tcPr>
            <w:tcW w:w="3872" w:type="dxa"/>
          </w:tcPr>
          <w:p w14:paraId="22730820" w14:textId="2FBD84BE" w:rsidR="00804B5F" w:rsidRDefault="00804B5F">
            <w:pPr>
              <w:pStyle w:val="Default"/>
              <w:rPr>
                <w:i/>
                <w:u w:val="single"/>
              </w:rPr>
            </w:pPr>
            <w:r>
              <w:t>Urgent Care Appointment, no prior authorization</w:t>
            </w:r>
          </w:p>
        </w:tc>
        <w:tc>
          <w:tcPr>
            <w:tcW w:w="2382" w:type="dxa"/>
          </w:tcPr>
          <w:p w14:paraId="320B7BB5" w14:textId="2E63AA49" w:rsidR="00804B5F" w:rsidRDefault="00804B5F" w:rsidP="007E0A26">
            <w:pPr>
              <w:pStyle w:val="Default"/>
              <w:rPr>
                <w:i/>
                <w:u w:val="single"/>
              </w:rPr>
            </w:pPr>
            <w:r>
              <w:t>48 hours</w:t>
            </w:r>
            <w:r w:rsidR="00454BCB">
              <w:t xml:space="preserve"> </w:t>
            </w:r>
          </w:p>
        </w:tc>
      </w:tr>
      <w:tr w:rsidR="00804B5F" w14:paraId="11264B7A" w14:textId="77777777" w:rsidTr="00CF1032">
        <w:tc>
          <w:tcPr>
            <w:tcW w:w="3096" w:type="dxa"/>
          </w:tcPr>
          <w:p w14:paraId="46472381" w14:textId="4C416B30" w:rsidR="00804B5F" w:rsidRDefault="00804B5F">
            <w:pPr>
              <w:pStyle w:val="Default"/>
            </w:pPr>
            <w:r>
              <w:t>PCP</w:t>
            </w:r>
          </w:p>
        </w:tc>
        <w:tc>
          <w:tcPr>
            <w:tcW w:w="3872" w:type="dxa"/>
          </w:tcPr>
          <w:p w14:paraId="6FF07238" w14:textId="1800CA14" w:rsidR="00804B5F" w:rsidRDefault="00804B5F">
            <w:pPr>
              <w:pStyle w:val="Default"/>
              <w:rPr>
                <w:i/>
                <w:u w:val="single"/>
              </w:rPr>
            </w:pPr>
            <w:r>
              <w:t>Urgent Care Appointment, requiring prior authorization</w:t>
            </w:r>
          </w:p>
        </w:tc>
        <w:tc>
          <w:tcPr>
            <w:tcW w:w="2382" w:type="dxa"/>
          </w:tcPr>
          <w:p w14:paraId="765AB6DE" w14:textId="64A891FE" w:rsidR="00804B5F" w:rsidRDefault="00804B5F" w:rsidP="007E0A26">
            <w:pPr>
              <w:pStyle w:val="Default"/>
              <w:rPr>
                <w:i/>
                <w:u w:val="single"/>
              </w:rPr>
            </w:pPr>
            <w:r>
              <w:t>96 hours</w:t>
            </w:r>
            <w:r w:rsidR="00D22008">
              <w:t xml:space="preserve"> </w:t>
            </w:r>
          </w:p>
        </w:tc>
      </w:tr>
      <w:tr w:rsidR="00804B5F" w14:paraId="441A247C" w14:textId="77777777" w:rsidTr="00CF1032">
        <w:tc>
          <w:tcPr>
            <w:tcW w:w="3096" w:type="dxa"/>
          </w:tcPr>
          <w:p w14:paraId="0A167652" w14:textId="5E30C3DD" w:rsidR="00804B5F" w:rsidRDefault="00804B5F">
            <w:pPr>
              <w:pStyle w:val="Default"/>
            </w:pPr>
            <w:r>
              <w:t>Dental</w:t>
            </w:r>
          </w:p>
        </w:tc>
        <w:tc>
          <w:tcPr>
            <w:tcW w:w="3872" w:type="dxa"/>
          </w:tcPr>
          <w:p w14:paraId="052A3F4C" w14:textId="40887548" w:rsidR="00804B5F" w:rsidRDefault="00804B5F" w:rsidP="00D22008">
            <w:pPr>
              <w:pStyle w:val="Default"/>
            </w:pPr>
            <w:r>
              <w:t xml:space="preserve">Urgent Care Appointment </w:t>
            </w:r>
          </w:p>
        </w:tc>
        <w:tc>
          <w:tcPr>
            <w:tcW w:w="2382" w:type="dxa"/>
          </w:tcPr>
          <w:p w14:paraId="40CAEE06" w14:textId="77777777" w:rsidR="00804B5F" w:rsidRDefault="00804B5F">
            <w:pPr>
              <w:pStyle w:val="Default"/>
            </w:pPr>
            <w:r>
              <w:t xml:space="preserve">72 hours </w:t>
            </w:r>
          </w:p>
        </w:tc>
      </w:tr>
      <w:tr w:rsidR="00804B5F" w14:paraId="6341E240" w14:textId="77777777" w:rsidTr="00CF1032">
        <w:tc>
          <w:tcPr>
            <w:tcW w:w="3096" w:type="dxa"/>
          </w:tcPr>
          <w:p w14:paraId="324BBEF5" w14:textId="57F4D524" w:rsidR="00804B5F" w:rsidRDefault="00804B5F">
            <w:pPr>
              <w:pStyle w:val="Default"/>
            </w:pPr>
            <w:r>
              <w:t>PCP</w:t>
            </w:r>
          </w:p>
        </w:tc>
        <w:tc>
          <w:tcPr>
            <w:tcW w:w="3872" w:type="dxa"/>
          </w:tcPr>
          <w:p w14:paraId="39F68DC0" w14:textId="4E081EED" w:rsidR="00804B5F" w:rsidRDefault="00804B5F">
            <w:pPr>
              <w:pStyle w:val="Default"/>
              <w:rPr>
                <w:i/>
                <w:u w:val="single"/>
              </w:rPr>
            </w:pPr>
            <w:r>
              <w:t>Non-urgent Appointment</w:t>
            </w:r>
          </w:p>
        </w:tc>
        <w:tc>
          <w:tcPr>
            <w:tcW w:w="2382" w:type="dxa"/>
          </w:tcPr>
          <w:p w14:paraId="42A8DD62" w14:textId="77777777" w:rsidR="00804B5F" w:rsidRDefault="00804B5F">
            <w:pPr>
              <w:pStyle w:val="Default"/>
              <w:rPr>
                <w:i/>
                <w:u w:val="single"/>
              </w:rPr>
            </w:pPr>
            <w:r>
              <w:t>10 business days</w:t>
            </w:r>
          </w:p>
        </w:tc>
      </w:tr>
      <w:tr w:rsidR="00804B5F" w14:paraId="29E7BA98" w14:textId="77777777" w:rsidTr="00CF1032">
        <w:tc>
          <w:tcPr>
            <w:tcW w:w="3096" w:type="dxa"/>
          </w:tcPr>
          <w:p w14:paraId="7E16BEA2" w14:textId="001BF5F2" w:rsidR="00804B5F" w:rsidRDefault="00454BCB">
            <w:pPr>
              <w:pStyle w:val="Default"/>
            </w:pPr>
            <w:r>
              <w:t>Specialist</w:t>
            </w:r>
          </w:p>
        </w:tc>
        <w:tc>
          <w:tcPr>
            <w:tcW w:w="3872" w:type="dxa"/>
          </w:tcPr>
          <w:p w14:paraId="71918F6F" w14:textId="289746C9" w:rsidR="00804B5F" w:rsidRDefault="00804B5F">
            <w:pPr>
              <w:pStyle w:val="Default"/>
              <w:rPr>
                <w:i/>
                <w:u w:val="single"/>
              </w:rPr>
            </w:pPr>
            <w:r>
              <w:t>Non-urgent Appointment</w:t>
            </w:r>
          </w:p>
        </w:tc>
        <w:tc>
          <w:tcPr>
            <w:tcW w:w="2382" w:type="dxa"/>
          </w:tcPr>
          <w:p w14:paraId="78387B86" w14:textId="77777777" w:rsidR="00804B5F" w:rsidRDefault="00804B5F">
            <w:pPr>
              <w:pStyle w:val="Default"/>
              <w:rPr>
                <w:i/>
                <w:u w:val="single"/>
              </w:rPr>
            </w:pPr>
            <w:r>
              <w:t>15 business days</w:t>
            </w:r>
          </w:p>
        </w:tc>
      </w:tr>
      <w:tr w:rsidR="00804B5F" w14:paraId="19522FC4" w14:textId="77777777" w:rsidTr="00CF1032">
        <w:tc>
          <w:tcPr>
            <w:tcW w:w="3096" w:type="dxa"/>
          </w:tcPr>
          <w:p w14:paraId="0DD471EF" w14:textId="3CBDE3CB" w:rsidR="00804B5F" w:rsidRDefault="00D22008">
            <w:pPr>
              <w:pStyle w:val="Default"/>
            </w:pPr>
            <w:r>
              <w:t>Non-Physician Mental Health Provider</w:t>
            </w:r>
          </w:p>
        </w:tc>
        <w:tc>
          <w:tcPr>
            <w:tcW w:w="3872" w:type="dxa"/>
          </w:tcPr>
          <w:p w14:paraId="39EE16E3" w14:textId="4E835AF2" w:rsidR="00804B5F" w:rsidRDefault="00804B5F" w:rsidP="00D22008">
            <w:pPr>
              <w:pStyle w:val="Default"/>
              <w:rPr>
                <w:i/>
                <w:u w:val="single"/>
              </w:rPr>
            </w:pPr>
            <w:r>
              <w:t>Non-urgent Appointment</w:t>
            </w:r>
            <w:r>
              <w:tab/>
            </w:r>
          </w:p>
        </w:tc>
        <w:tc>
          <w:tcPr>
            <w:tcW w:w="2382" w:type="dxa"/>
          </w:tcPr>
          <w:p w14:paraId="7DF0C8BE" w14:textId="77777777" w:rsidR="00804B5F" w:rsidRDefault="00804B5F">
            <w:pPr>
              <w:pStyle w:val="Default"/>
              <w:rPr>
                <w:i/>
                <w:u w:val="single"/>
              </w:rPr>
            </w:pPr>
            <w:r>
              <w:t>10 business days</w:t>
            </w:r>
          </w:p>
        </w:tc>
      </w:tr>
      <w:tr w:rsidR="00804B5F" w14:paraId="07A662F7" w14:textId="77777777" w:rsidTr="00CF1032">
        <w:tc>
          <w:tcPr>
            <w:tcW w:w="3096" w:type="dxa"/>
          </w:tcPr>
          <w:p w14:paraId="33F40CD7" w14:textId="0C7A5934" w:rsidR="00804B5F" w:rsidRDefault="00D22008">
            <w:pPr>
              <w:pStyle w:val="Default"/>
            </w:pPr>
            <w:r>
              <w:t>Non-Physician Mental Health Provider</w:t>
            </w:r>
          </w:p>
        </w:tc>
        <w:tc>
          <w:tcPr>
            <w:tcW w:w="3872" w:type="dxa"/>
          </w:tcPr>
          <w:p w14:paraId="00FF26BB" w14:textId="2044CC29" w:rsidR="00804B5F" w:rsidRDefault="00804B5F" w:rsidP="00D22008">
            <w:pPr>
              <w:pStyle w:val="Default"/>
            </w:pPr>
            <w:r>
              <w:t xml:space="preserve">Non-urgent follow-up Appointment </w:t>
            </w:r>
          </w:p>
        </w:tc>
        <w:tc>
          <w:tcPr>
            <w:tcW w:w="2382" w:type="dxa"/>
          </w:tcPr>
          <w:p w14:paraId="577D9412" w14:textId="77777777" w:rsidR="00804B5F" w:rsidRDefault="00804B5F">
            <w:pPr>
              <w:pStyle w:val="Default"/>
            </w:pPr>
            <w:r>
              <w:t>10 business days</w:t>
            </w:r>
            <w:r>
              <w:rPr>
                <w:rStyle w:val="FootnoteReference"/>
              </w:rPr>
              <w:footnoteReference w:id="15"/>
            </w:r>
          </w:p>
        </w:tc>
      </w:tr>
      <w:tr w:rsidR="00804B5F" w14:paraId="027F876D" w14:textId="77777777" w:rsidTr="00CF1032">
        <w:tc>
          <w:tcPr>
            <w:tcW w:w="3096" w:type="dxa"/>
          </w:tcPr>
          <w:p w14:paraId="15F195B4" w14:textId="696264C8" w:rsidR="00804B5F" w:rsidRDefault="00D22008">
            <w:pPr>
              <w:pStyle w:val="Default"/>
            </w:pPr>
            <w:r>
              <w:t>Ancillary</w:t>
            </w:r>
          </w:p>
        </w:tc>
        <w:tc>
          <w:tcPr>
            <w:tcW w:w="3872" w:type="dxa"/>
          </w:tcPr>
          <w:p w14:paraId="540EA721" w14:textId="12084DA9" w:rsidR="00804B5F" w:rsidRDefault="00804B5F">
            <w:pPr>
              <w:pStyle w:val="Default"/>
            </w:pPr>
            <w:r>
              <w:t>Non-urgent Appointment for the diagnosis or treatment of injury, illness, or other health condition</w:t>
            </w:r>
          </w:p>
        </w:tc>
        <w:tc>
          <w:tcPr>
            <w:tcW w:w="2382" w:type="dxa"/>
          </w:tcPr>
          <w:p w14:paraId="512E910D" w14:textId="77777777" w:rsidR="00804B5F" w:rsidRDefault="00804B5F">
            <w:pPr>
              <w:pStyle w:val="Default"/>
              <w:rPr>
                <w:i/>
                <w:u w:val="single"/>
              </w:rPr>
            </w:pPr>
            <w:r>
              <w:t>15 business days</w:t>
            </w:r>
          </w:p>
        </w:tc>
      </w:tr>
      <w:tr w:rsidR="00804B5F" w14:paraId="4D792800" w14:textId="77777777" w:rsidTr="00CF1032">
        <w:tc>
          <w:tcPr>
            <w:tcW w:w="3096" w:type="dxa"/>
          </w:tcPr>
          <w:p w14:paraId="1C36362D" w14:textId="060C6121" w:rsidR="00804B5F" w:rsidRDefault="00D22008">
            <w:pPr>
              <w:pStyle w:val="Default"/>
            </w:pPr>
            <w:r>
              <w:t>Dental</w:t>
            </w:r>
          </w:p>
        </w:tc>
        <w:tc>
          <w:tcPr>
            <w:tcW w:w="3872" w:type="dxa"/>
          </w:tcPr>
          <w:p w14:paraId="717B230E" w14:textId="639808A3" w:rsidR="00804B5F" w:rsidRDefault="00804B5F" w:rsidP="00D22008">
            <w:pPr>
              <w:pStyle w:val="Default"/>
            </w:pPr>
            <w:r>
              <w:t>Non-urgent Appointment</w:t>
            </w:r>
          </w:p>
        </w:tc>
        <w:tc>
          <w:tcPr>
            <w:tcW w:w="2382" w:type="dxa"/>
          </w:tcPr>
          <w:p w14:paraId="1BFCD4B7" w14:textId="77777777" w:rsidR="00804B5F" w:rsidRDefault="00804B5F">
            <w:pPr>
              <w:pStyle w:val="Default"/>
            </w:pPr>
            <w:r>
              <w:t>36 business days</w:t>
            </w:r>
          </w:p>
        </w:tc>
      </w:tr>
      <w:tr w:rsidR="00804B5F" w14:paraId="4EAA4256" w14:textId="77777777" w:rsidTr="00CF1032">
        <w:tc>
          <w:tcPr>
            <w:tcW w:w="3096" w:type="dxa"/>
          </w:tcPr>
          <w:p w14:paraId="4E5EF60F" w14:textId="6F204C32" w:rsidR="00804B5F" w:rsidRDefault="00D22008">
            <w:pPr>
              <w:pStyle w:val="Default"/>
            </w:pPr>
            <w:r>
              <w:t>Dental</w:t>
            </w:r>
          </w:p>
        </w:tc>
        <w:tc>
          <w:tcPr>
            <w:tcW w:w="3872" w:type="dxa"/>
          </w:tcPr>
          <w:p w14:paraId="3C0078B1" w14:textId="5A90308D" w:rsidR="00804B5F" w:rsidRDefault="00804B5F" w:rsidP="00D22008">
            <w:pPr>
              <w:pStyle w:val="Default"/>
            </w:pPr>
            <w:r>
              <w:t>Preventive Care Appointment</w:t>
            </w:r>
          </w:p>
        </w:tc>
        <w:tc>
          <w:tcPr>
            <w:tcW w:w="2382" w:type="dxa"/>
          </w:tcPr>
          <w:p w14:paraId="7922FF54" w14:textId="77777777" w:rsidR="00804B5F" w:rsidRDefault="00804B5F">
            <w:pPr>
              <w:pStyle w:val="Default"/>
            </w:pPr>
            <w:r>
              <w:t>40 business days</w:t>
            </w:r>
          </w:p>
        </w:tc>
      </w:tr>
      <w:tr w:rsidR="00D22008" w14:paraId="78080782" w14:textId="77777777" w:rsidTr="00343EC5">
        <w:trPr>
          <w:trHeight w:val="359"/>
        </w:trPr>
        <w:tc>
          <w:tcPr>
            <w:tcW w:w="9350" w:type="dxa"/>
            <w:gridSpan w:val="3"/>
          </w:tcPr>
          <w:p w14:paraId="74BFAACA" w14:textId="2C128647" w:rsidR="00D22008" w:rsidRDefault="00D22008">
            <w:pPr>
              <w:pStyle w:val="Default"/>
              <w:rPr>
                <w:b/>
              </w:rPr>
            </w:pPr>
            <w:r>
              <w:rPr>
                <w:b/>
              </w:rPr>
              <w:t>Telephone Wait Times</w:t>
            </w:r>
          </w:p>
        </w:tc>
      </w:tr>
      <w:tr w:rsidR="00D22008" w14:paraId="1627F4FB" w14:textId="77777777" w:rsidTr="00343EC5">
        <w:tc>
          <w:tcPr>
            <w:tcW w:w="6968" w:type="dxa"/>
            <w:gridSpan w:val="2"/>
          </w:tcPr>
          <w:p w14:paraId="6714F771" w14:textId="2B9E921C" w:rsidR="00D22008" w:rsidRDefault="00D22008">
            <w:pPr>
              <w:pStyle w:val="Default"/>
              <w:rPr>
                <w:i/>
                <w:u w:val="single"/>
              </w:rPr>
            </w:pPr>
            <w:r>
              <w:t>Member Services Line</w:t>
            </w:r>
            <w:r>
              <w:tab/>
            </w:r>
          </w:p>
        </w:tc>
        <w:tc>
          <w:tcPr>
            <w:tcW w:w="2382" w:type="dxa"/>
          </w:tcPr>
          <w:p w14:paraId="2A659593" w14:textId="77777777" w:rsidR="00D22008" w:rsidRDefault="00D22008">
            <w:pPr>
              <w:pStyle w:val="Default"/>
              <w:rPr>
                <w:i/>
                <w:u w:val="single"/>
              </w:rPr>
            </w:pPr>
            <w:r>
              <w:t>10 minutes or less</w:t>
            </w:r>
          </w:p>
        </w:tc>
      </w:tr>
      <w:tr w:rsidR="00D22008" w14:paraId="000C42ED" w14:textId="77777777" w:rsidTr="00343EC5">
        <w:tc>
          <w:tcPr>
            <w:tcW w:w="6968" w:type="dxa"/>
            <w:gridSpan w:val="2"/>
          </w:tcPr>
          <w:p w14:paraId="15EE0D17" w14:textId="04106011" w:rsidR="00D22008" w:rsidRDefault="00D22008">
            <w:pPr>
              <w:pStyle w:val="Default"/>
            </w:pPr>
            <w:r>
              <w:t xml:space="preserve">24/7 </w:t>
            </w:r>
            <w:r w:rsidR="00585480">
              <w:t xml:space="preserve">Nurse </w:t>
            </w:r>
            <w:r>
              <w:t>Triage Line</w:t>
            </w:r>
          </w:p>
        </w:tc>
        <w:tc>
          <w:tcPr>
            <w:tcW w:w="2382" w:type="dxa"/>
          </w:tcPr>
          <w:p w14:paraId="6878DEE7" w14:textId="77777777" w:rsidR="00D22008" w:rsidRDefault="00D22008">
            <w:pPr>
              <w:pStyle w:val="Default"/>
              <w:rPr>
                <w:i/>
                <w:u w:val="single"/>
              </w:rPr>
            </w:pPr>
            <w:r>
              <w:t>Response/Call provided within 30 minutes</w:t>
            </w:r>
          </w:p>
        </w:tc>
      </w:tr>
      <w:tr w:rsidR="008F1E16" w14:paraId="0C36119F" w14:textId="77777777" w:rsidTr="00343EC5">
        <w:tc>
          <w:tcPr>
            <w:tcW w:w="9350" w:type="dxa"/>
            <w:gridSpan w:val="3"/>
          </w:tcPr>
          <w:p w14:paraId="045D5943" w14:textId="0072D1E7" w:rsidR="008F1E16" w:rsidRPr="008E2EB6" w:rsidRDefault="00DE4EA4">
            <w:pPr>
              <w:pStyle w:val="Default"/>
              <w:rPr>
                <w:b/>
              </w:rPr>
            </w:pPr>
            <w:r>
              <w:rPr>
                <w:b/>
              </w:rPr>
              <w:t xml:space="preserve">Provider </w:t>
            </w:r>
            <w:r w:rsidR="008F1E16" w:rsidRPr="008E2EB6">
              <w:rPr>
                <w:b/>
              </w:rPr>
              <w:t>Interpretation Services</w:t>
            </w:r>
          </w:p>
        </w:tc>
      </w:tr>
      <w:tr w:rsidR="008F1E16" w14:paraId="0FF030C6" w14:textId="77777777" w:rsidTr="00343EC5">
        <w:tc>
          <w:tcPr>
            <w:tcW w:w="6968" w:type="dxa"/>
            <w:gridSpan w:val="2"/>
          </w:tcPr>
          <w:p w14:paraId="20CD0554" w14:textId="662D06EE" w:rsidR="008F1E16" w:rsidRDefault="007E523D" w:rsidP="0039746F">
            <w:pPr>
              <w:pStyle w:val="Default"/>
            </w:pPr>
            <w:r>
              <w:t>Providers must demonstrate their knowledge that members are entitled to receive</w:t>
            </w:r>
            <w:r w:rsidR="00EF16BA">
              <w:t xml:space="preserve"> 24/7</w:t>
            </w:r>
            <w:r>
              <w:t xml:space="preserve"> interpretation services in any language </w:t>
            </w:r>
          </w:p>
        </w:tc>
        <w:tc>
          <w:tcPr>
            <w:tcW w:w="2382" w:type="dxa"/>
          </w:tcPr>
          <w:p w14:paraId="74522F5E" w14:textId="5601C0EB" w:rsidR="008F1E16" w:rsidRDefault="00EF16BA" w:rsidP="00B873B6">
            <w:pPr>
              <w:pStyle w:val="Default"/>
            </w:pPr>
            <w:r>
              <w:t>N/A</w:t>
            </w:r>
          </w:p>
        </w:tc>
      </w:tr>
    </w:tbl>
    <w:p w14:paraId="71702D00" w14:textId="77777777" w:rsidR="003D06E7" w:rsidRDefault="003D06E7">
      <w:pPr>
        <w:rPr>
          <w:rFonts w:cs="Arial"/>
          <w:kern w:val="20"/>
          <w:u w:val="single"/>
        </w:rPr>
      </w:pPr>
    </w:p>
    <w:p w14:paraId="7BF19C5B" w14:textId="3C296569" w:rsidR="00A86E23" w:rsidRDefault="00A86E23" w:rsidP="00A86E23">
      <w:pPr>
        <w:rPr>
          <w:rFonts w:cs="Arial"/>
          <w:i/>
          <w:kern w:val="20"/>
          <w:u w:val="single"/>
        </w:rPr>
      </w:pPr>
      <w:r>
        <w:rPr>
          <w:rFonts w:cs="Arial"/>
          <w:i/>
          <w:kern w:val="20"/>
          <w:u w:val="single"/>
        </w:rPr>
        <w:t>Member Services Telephone Wait Times</w:t>
      </w:r>
    </w:p>
    <w:p w14:paraId="7F08558D" w14:textId="6CC9C6DE" w:rsidR="00A86E23" w:rsidRDefault="00A86E23" w:rsidP="00A86E23">
      <w:pPr>
        <w:rPr>
          <w:rFonts w:cs="Arial"/>
          <w:kern w:val="20"/>
        </w:rPr>
      </w:pPr>
      <w:r>
        <w:rPr>
          <w:rFonts w:cs="Arial"/>
          <w:kern w:val="20"/>
        </w:rPr>
        <w:t>MCPs must ensure that during normal business hours, calls made to the member services line do not exceed a waiting time of ten (10) minutes for a member to speak with member services staff knowledgeable about their inquiry.</w:t>
      </w:r>
      <w:r>
        <w:rPr>
          <w:rStyle w:val="FootnoteReference"/>
          <w:rFonts w:cs="Arial"/>
          <w:kern w:val="20"/>
        </w:rPr>
        <w:footnoteReference w:id="16"/>
      </w:r>
      <w:r>
        <w:rPr>
          <w:rFonts w:cs="Arial"/>
          <w:kern w:val="20"/>
        </w:rPr>
        <w:t xml:space="preserve"> </w:t>
      </w:r>
    </w:p>
    <w:p w14:paraId="13DF28F7" w14:textId="1C511BA1" w:rsidR="00A86E23" w:rsidRDefault="00A86E23" w:rsidP="00A86E23">
      <w:pPr>
        <w:rPr>
          <w:rFonts w:cs="Arial"/>
          <w:kern w:val="20"/>
        </w:rPr>
      </w:pPr>
    </w:p>
    <w:p w14:paraId="6E9DACDA" w14:textId="088EA816" w:rsidR="00A86E23" w:rsidRDefault="00A86E23" w:rsidP="00A86E23">
      <w:pPr>
        <w:rPr>
          <w:rFonts w:cs="Arial"/>
          <w:kern w:val="20"/>
        </w:rPr>
      </w:pPr>
    </w:p>
    <w:p w14:paraId="63D307FE" w14:textId="77777777" w:rsidR="00A86E23" w:rsidRDefault="00A86E23" w:rsidP="00A86E23">
      <w:pPr>
        <w:rPr>
          <w:rFonts w:cs="Arial"/>
          <w:kern w:val="20"/>
        </w:rPr>
      </w:pPr>
    </w:p>
    <w:p w14:paraId="7569F6F7" w14:textId="539F1508" w:rsidR="007E523D" w:rsidRDefault="0039746F" w:rsidP="007E523D">
      <w:pPr>
        <w:rPr>
          <w:rFonts w:cs="Arial"/>
          <w:i/>
          <w:kern w:val="20"/>
          <w:u w:val="single"/>
        </w:rPr>
      </w:pPr>
      <w:r>
        <w:rPr>
          <w:rFonts w:cs="Arial"/>
          <w:i/>
          <w:kern w:val="20"/>
          <w:u w:val="single"/>
        </w:rPr>
        <w:lastRenderedPageBreak/>
        <w:t xml:space="preserve">Provider </w:t>
      </w:r>
      <w:r w:rsidR="007E523D">
        <w:rPr>
          <w:rFonts w:cs="Arial"/>
          <w:i/>
          <w:kern w:val="20"/>
          <w:u w:val="single"/>
        </w:rPr>
        <w:t xml:space="preserve">Interpretation </w:t>
      </w:r>
      <w:r>
        <w:rPr>
          <w:rFonts w:cs="Arial"/>
          <w:i/>
          <w:kern w:val="20"/>
          <w:u w:val="single"/>
        </w:rPr>
        <w:t>Services</w:t>
      </w:r>
      <w:r w:rsidR="007E523D">
        <w:rPr>
          <w:rFonts w:cs="Arial"/>
          <w:i/>
          <w:kern w:val="20"/>
          <w:u w:val="single"/>
        </w:rPr>
        <w:t xml:space="preserve"> </w:t>
      </w:r>
    </w:p>
    <w:p w14:paraId="7D345B0A" w14:textId="5B4736FF" w:rsidR="007E523D" w:rsidRDefault="007E523D" w:rsidP="007E523D">
      <w:pPr>
        <w:rPr>
          <w:rFonts w:cs="Arial"/>
          <w:kern w:val="20"/>
        </w:rPr>
      </w:pPr>
      <w:r>
        <w:rPr>
          <w:rFonts w:cs="Arial"/>
          <w:kern w:val="20"/>
        </w:rPr>
        <w:t xml:space="preserve">To ensure that a lack of interpretation services does not impede or delay timely access to care, MCPs are required to provide members who have limited proficiency in English with an interpreter or provider who speaks the member’s primary language 24 hours a day. </w:t>
      </w:r>
    </w:p>
    <w:p w14:paraId="7D424874" w14:textId="65AF894C" w:rsidR="00CC7ED0" w:rsidRDefault="00CC7ED0" w:rsidP="007E523D">
      <w:pPr>
        <w:rPr>
          <w:rFonts w:cs="Arial"/>
          <w:kern w:val="20"/>
        </w:rPr>
      </w:pPr>
    </w:p>
    <w:p w14:paraId="777B4DF6" w14:textId="48E7072B" w:rsidR="003D06E7" w:rsidRPr="00397CDE" w:rsidRDefault="0014641F">
      <w:pPr>
        <w:rPr>
          <w:rFonts w:cs="Arial"/>
          <w:kern w:val="20"/>
        </w:rPr>
      </w:pPr>
      <w:r w:rsidRPr="00397CDE">
        <w:rPr>
          <w:rFonts w:cs="Arial"/>
          <w:kern w:val="20"/>
        </w:rPr>
        <w:t>MCPs must meet the</w:t>
      </w:r>
      <w:r w:rsidR="00CC7ED0">
        <w:rPr>
          <w:rFonts w:cs="Arial"/>
          <w:kern w:val="20"/>
        </w:rPr>
        <w:t xml:space="preserve"> </w:t>
      </w:r>
      <w:r w:rsidRPr="00397CDE">
        <w:rPr>
          <w:rFonts w:cs="Arial"/>
          <w:kern w:val="20"/>
        </w:rPr>
        <w:t xml:space="preserve">timely access standards in conformity with the requirements of </w:t>
      </w:r>
      <w:r w:rsidR="00CE2C61">
        <w:rPr>
          <w:rFonts w:cs="Arial"/>
          <w:kern w:val="20"/>
        </w:rPr>
        <w:t>2</w:t>
      </w:r>
      <w:r w:rsidR="00217624">
        <w:rPr>
          <w:rFonts w:cs="Arial"/>
          <w:kern w:val="20"/>
        </w:rPr>
        <w:t>8</w:t>
      </w:r>
      <w:r w:rsidR="00CE2C61">
        <w:rPr>
          <w:rFonts w:cs="Arial"/>
          <w:kern w:val="20"/>
        </w:rPr>
        <w:t xml:space="preserve"> CCR</w:t>
      </w:r>
      <w:r w:rsidRPr="00397CDE">
        <w:rPr>
          <w:rFonts w:cs="Arial"/>
          <w:kern w:val="20"/>
        </w:rPr>
        <w:t xml:space="preserve"> </w:t>
      </w:r>
      <w:r w:rsidR="000972C1">
        <w:rPr>
          <w:rFonts w:cs="Arial"/>
          <w:kern w:val="20"/>
        </w:rPr>
        <w:t xml:space="preserve">section </w:t>
      </w:r>
      <w:r w:rsidRPr="00397CDE">
        <w:rPr>
          <w:rFonts w:cs="Arial"/>
          <w:kern w:val="20"/>
        </w:rPr>
        <w:t>13</w:t>
      </w:r>
      <w:r w:rsidR="00CD4D1E">
        <w:rPr>
          <w:rFonts w:cs="Arial"/>
          <w:kern w:val="20"/>
        </w:rPr>
        <w:t>00</w:t>
      </w:r>
      <w:r w:rsidRPr="00397CDE">
        <w:rPr>
          <w:rFonts w:cs="Arial"/>
          <w:kern w:val="20"/>
        </w:rPr>
        <w:t>.</w:t>
      </w:r>
      <w:r w:rsidR="00CD4D1E">
        <w:rPr>
          <w:rFonts w:cs="Arial"/>
          <w:kern w:val="20"/>
        </w:rPr>
        <w:t>67.2</w:t>
      </w:r>
      <w:r w:rsidR="00CF1032">
        <w:rPr>
          <w:rFonts w:cs="Arial"/>
          <w:kern w:val="20"/>
        </w:rPr>
        <w:t>.2</w:t>
      </w:r>
      <w:r w:rsidR="006E1EDF">
        <w:rPr>
          <w:rFonts w:cs="Arial"/>
          <w:kern w:val="20"/>
        </w:rPr>
        <w:t xml:space="preserve">, </w:t>
      </w:r>
      <w:r w:rsidR="000F5F2B">
        <w:rPr>
          <w:rFonts w:cs="Arial"/>
          <w:kern w:val="20"/>
        </w:rPr>
        <w:t xml:space="preserve">however, the applicable waiting time for a particular appointment may be extended </w:t>
      </w:r>
      <w:r w:rsidR="007E0A26">
        <w:rPr>
          <w:rFonts w:cs="Arial"/>
          <w:kern w:val="20"/>
        </w:rPr>
        <w:t xml:space="preserve">for reasons, that include but are not limited to, </w:t>
      </w:r>
      <w:r w:rsidR="000F5F2B">
        <w:rPr>
          <w:rFonts w:cs="Arial"/>
          <w:kern w:val="20"/>
        </w:rPr>
        <w:t>if the referring or treating licensed health care provider, or the health professional providing triage or screening services</w:t>
      </w:r>
      <w:r w:rsidR="0041318E">
        <w:rPr>
          <w:rFonts w:cs="Arial"/>
          <w:kern w:val="20"/>
        </w:rPr>
        <w:t>, as applicable,</w:t>
      </w:r>
      <w:r w:rsidR="000F5F2B">
        <w:rPr>
          <w:rFonts w:cs="Arial"/>
          <w:kern w:val="20"/>
        </w:rPr>
        <w:t xml:space="preserve"> has determined and noted in the relevant record that a longer waiting time will not have a detrimental impact on the health of the member</w:t>
      </w:r>
      <w:r w:rsidR="00956F33">
        <w:rPr>
          <w:rFonts w:cs="Arial"/>
          <w:kern w:val="20"/>
        </w:rPr>
        <w:t>.</w:t>
      </w:r>
      <w:r w:rsidR="00C7769F">
        <w:rPr>
          <w:rStyle w:val="FootnoteReference"/>
          <w:rFonts w:cs="Arial"/>
          <w:kern w:val="20"/>
        </w:rPr>
        <w:footnoteReference w:id="17"/>
      </w:r>
    </w:p>
    <w:p w14:paraId="506AD2AC" w14:textId="77777777" w:rsidR="003D06E7" w:rsidRDefault="003D06E7">
      <w:pPr>
        <w:rPr>
          <w:rFonts w:cs="Arial"/>
          <w:kern w:val="20"/>
          <w:u w:val="single"/>
        </w:rPr>
      </w:pPr>
    </w:p>
    <w:p w14:paraId="2D20F783" w14:textId="48F23F1B" w:rsidR="003D06E7" w:rsidRDefault="0014641F">
      <w:pPr>
        <w:rPr>
          <w:rFonts w:cs="Arial"/>
          <w:b/>
          <w:kern w:val="20"/>
          <w:u w:val="single"/>
        </w:rPr>
      </w:pPr>
      <w:r>
        <w:rPr>
          <w:rFonts w:cs="Arial"/>
          <w:b/>
          <w:kern w:val="20"/>
          <w:u w:val="single"/>
        </w:rPr>
        <w:t xml:space="preserve">Additional </w:t>
      </w:r>
      <w:r w:rsidR="007240B8">
        <w:rPr>
          <w:rFonts w:cs="Arial"/>
          <w:b/>
          <w:kern w:val="20"/>
          <w:u w:val="single"/>
        </w:rPr>
        <w:t xml:space="preserve">Timely Access Survey </w:t>
      </w:r>
      <w:r>
        <w:rPr>
          <w:rFonts w:cs="Arial"/>
          <w:b/>
          <w:kern w:val="20"/>
          <w:u w:val="single"/>
        </w:rPr>
        <w:t>Requirements</w:t>
      </w:r>
    </w:p>
    <w:p w14:paraId="29C802D7" w14:textId="445C6F64" w:rsidR="009B78F8" w:rsidRDefault="0014641F">
      <w:pPr>
        <w:rPr>
          <w:rFonts w:cs="Arial"/>
          <w:kern w:val="20"/>
          <w:vertAlign w:val="superscript"/>
        </w:rPr>
      </w:pPr>
      <w:r>
        <w:rPr>
          <w:rFonts w:cs="Arial"/>
          <w:kern w:val="20"/>
        </w:rPr>
        <w:t xml:space="preserve">MCPs must ensure referrals to a specialist by a </w:t>
      </w:r>
      <w:proofErr w:type="gramStart"/>
      <w:r>
        <w:rPr>
          <w:rFonts w:cs="Arial"/>
          <w:kern w:val="20"/>
        </w:rPr>
        <w:t>PCP</w:t>
      </w:r>
      <w:proofErr w:type="gramEnd"/>
      <w:r>
        <w:rPr>
          <w:rFonts w:cs="Arial"/>
          <w:kern w:val="20"/>
        </w:rPr>
        <w:t xml:space="preserve"> or another specialist are subject to the relevant timely access standards noted </w:t>
      </w:r>
      <w:r w:rsidR="0039746F">
        <w:rPr>
          <w:rFonts w:cs="Arial"/>
          <w:kern w:val="20"/>
        </w:rPr>
        <w:t>in the Timely Access Standards Chart</w:t>
      </w:r>
      <w:r>
        <w:rPr>
          <w:rFonts w:cs="Arial"/>
          <w:kern w:val="20"/>
        </w:rPr>
        <w:t xml:space="preserve">, unless other requirements are </w:t>
      </w:r>
      <w:r w:rsidR="0039746F">
        <w:rPr>
          <w:rFonts w:cs="Arial"/>
          <w:kern w:val="20"/>
        </w:rPr>
        <w:t>specified</w:t>
      </w:r>
      <w:r>
        <w:rPr>
          <w:rFonts w:cs="Arial"/>
          <w:kern w:val="20"/>
        </w:rPr>
        <w:t xml:space="preserve"> and subject to all timely access requirements.</w:t>
      </w:r>
      <w:r>
        <w:rPr>
          <w:rStyle w:val="FootnoteReference"/>
          <w:rFonts w:cs="Arial"/>
          <w:kern w:val="20"/>
        </w:rPr>
        <w:footnoteReference w:id="18"/>
      </w:r>
      <w:r>
        <w:rPr>
          <w:rFonts w:cs="Arial"/>
          <w:kern w:val="20"/>
        </w:rPr>
        <w:t xml:space="preserve"> MCPs are also required to meet contractual requirements to provide language interpretation services</w:t>
      </w:r>
      <w:r w:rsidR="00CD4D1E">
        <w:rPr>
          <w:rFonts w:cs="Arial"/>
          <w:kern w:val="20"/>
        </w:rPr>
        <w:t>.</w:t>
      </w:r>
      <w:r w:rsidR="00CD4D1E">
        <w:rPr>
          <w:rStyle w:val="FootnoteReference"/>
          <w:rFonts w:cs="Arial"/>
          <w:kern w:val="20"/>
        </w:rPr>
        <w:footnoteReference w:id="19"/>
      </w:r>
      <w:r w:rsidR="00CD4D1E" w:rsidRPr="00047952">
        <w:rPr>
          <w:rFonts w:cs="Arial"/>
          <w:kern w:val="20"/>
          <w:vertAlign w:val="superscript"/>
        </w:rPr>
        <w:t>,</w:t>
      </w:r>
      <w:r w:rsidR="00CD4D1E">
        <w:rPr>
          <w:rFonts w:cs="Arial"/>
          <w:kern w:val="20"/>
          <w:vertAlign w:val="superscript"/>
        </w:rPr>
        <w:t xml:space="preserve"> </w:t>
      </w:r>
      <w:r>
        <w:rPr>
          <w:rStyle w:val="FootnoteReference"/>
          <w:rFonts w:cs="Arial"/>
          <w:kern w:val="20"/>
        </w:rPr>
        <w:footnoteReference w:id="20"/>
      </w:r>
      <w:r w:rsidR="009B78F8">
        <w:rPr>
          <w:rFonts w:cs="Arial"/>
          <w:kern w:val="20"/>
          <w:vertAlign w:val="superscript"/>
        </w:rPr>
        <w:t xml:space="preserve"> </w:t>
      </w:r>
    </w:p>
    <w:p w14:paraId="3D9BADEE" w14:textId="77777777" w:rsidR="009B78F8" w:rsidRDefault="009B78F8">
      <w:pPr>
        <w:rPr>
          <w:rFonts w:cs="Arial"/>
          <w:kern w:val="20"/>
          <w:vertAlign w:val="superscript"/>
        </w:rPr>
      </w:pPr>
    </w:p>
    <w:p w14:paraId="64C42D10" w14:textId="325230D7" w:rsidR="003D06E7" w:rsidRDefault="009B78F8">
      <w:pPr>
        <w:rPr>
          <w:rFonts w:cs="Arial"/>
          <w:kern w:val="20"/>
        </w:rPr>
      </w:pPr>
      <w:r>
        <w:rPr>
          <w:rFonts w:cs="Arial"/>
        </w:rPr>
        <w:t>Beginning July 1, 2022, MCPs will be required to comply with the requirement for non-urgent follow-up appointments with a</w:t>
      </w:r>
      <w:r w:rsidR="00804B5F">
        <w:rPr>
          <w:rFonts w:cs="Arial"/>
        </w:rPr>
        <w:t>n</w:t>
      </w:r>
      <w:r>
        <w:rPr>
          <w:rFonts w:cs="Arial"/>
        </w:rPr>
        <w:t xml:space="preserve"> </w:t>
      </w:r>
      <w:r w:rsidR="00804B5F">
        <w:rPr>
          <w:rFonts w:cs="Arial"/>
        </w:rPr>
        <w:t xml:space="preserve">outpatient </w:t>
      </w:r>
      <w:r>
        <w:rPr>
          <w:rFonts w:cs="Arial"/>
        </w:rPr>
        <w:t xml:space="preserve">mental health provider (non-physician) within </w:t>
      </w:r>
      <w:r w:rsidR="00850791">
        <w:rPr>
          <w:rFonts w:cs="Arial"/>
        </w:rPr>
        <w:t>ten (</w:t>
      </w:r>
      <w:r>
        <w:rPr>
          <w:rFonts w:cs="Arial"/>
        </w:rPr>
        <w:t>10</w:t>
      </w:r>
      <w:r w:rsidR="00850791">
        <w:rPr>
          <w:rFonts w:cs="Arial"/>
        </w:rPr>
        <w:t>)</w:t>
      </w:r>
      <w:r>
        <w:rPr>
          <w:rFonts w:cs="Arial"/>
        </w:rPr>
        <w:t xml:space="preserve"> business days of the prior appointment for members undergoing a course of treatment for an ongoing mental health condition.</w:t>
      </w:r>
      <w:r w:rsidR="006258DA">
        <w:rPr>
          <w:rStyle w:val="FootnoteReference"/>
          <w:rFonts w:cs="Arial"/>
        </w:rPr>
        <w:footnoteReference w:id="21"/>
      </w:r>
    </w:p>
    <w:p w14:paraId="55019BCC" w14:textId="77777777" w:rsidR="003D06E7" w:rsidRDefault="003D06E7">
      <w:pPr>
        <w:rPr>
          <w:rFonts w:cs="Arial"/>
          <w:b/>
          <w:kern w:val="20"/>
          <w:u w:val="single"/>
        </w:rPr>
      </w:pPr>
    </w:p>
    <w:p w14:paraId="39C2CAE9" w14:textId="19200DC3" w:rsidR="003D06E7" w:rsidRDefault="0014641F">
      <w:pPr>
        <w:rPr>
          <w:rFonts w:cs="Arial"/>
          <w:b/>
          <w:kern w:val="20"/>
          <w:u w:val="single"/>
        </w:rPr>
      </w:pPr>
      <w:r>
        <w:rPr>
          <w:rFonts w:cs="Arial"/>
          <w:b/>
          <w:kern w:val="20"/>
          <w:u w:val="single"/>
        </w:rPr>
        <w:t>Compliance Threshold</w:t>
      </w:r>
      <w:r w:rsidR="007240B8">
        <w:rPr>
          <w:rFonts w:cs="Arial"/>
          <w:b/>
          <w:kern w:val="20"/>
          <w:u w:val="single"/>
        </w:rPr>
        <w:t>s</w:t>
      </w:r>
    </w:p>
    <w:p w14:paraId="3E5460AD" w14:textId="5187DD0F" w:rsidR="008F1E16" w:rsidRDefault="000D144B">
      <w:pPr>
        <w:rPr>
          <w:rFonts w:cs="Arial"/>
          <w:kern w:val="20"/>
        </w:rPr>
      </w:pPr>
      <w:r>
        <w:rPr>
          <w:rFonts w:cs="Arial"/>
          <w:kern w:val="20"/>
        </w:rPr>
        <w:t xml:space="preserve">Beginning January 1, 2022 (Measurement Year 2022), </w:t>
      </w:r>
      <w:r w:rsidR="00785B82">
        <w:rPr>
          <w:rFonts w:cs="Arial"/>
          <w:kern w:val="20"/>
        </w:rPr>
        <w:t xml:space="preserve">DHCS is establishing compliance thresholds for </w:t>
      </w:r>
      <w:r w:rsidR="00632450">
        <w:rPr>
          <w:rFonts w:cs="Arial"/>
          <w:kern w:val="20"/>
        </w:rPr>
        <w:t xml:space="preserve">a subset of </w:t>
      </w:r>
      <w:r w:rsidR="004D3F04">
        <w:rPr>
          <w:rFonts w:cs="Arial"/>
          <w:kern w:val="20"/>
        </w:rPr>
        <w:t xml:space="preserve">the </w:t>
      </w:r>
      <w:r w:rsidR="00632450">
        <w:rPr>
          <w:rFonts w:cs="Arial"/>
          <w:kern w:val="20"/>
        </w:rPr>
        <w:t xml:space="preserve">provider and appointment types listed in the Timely Access Standards Chart, </w:t>
      </w:r>
      <w:r w:rsidR="00AA73B3">
        <w:rPr>
          <w:rFonts w:cs="Arial"/>
          <w:kern w:val="20"/>
        </w:rPr>
        <w:t>MCP member services wait time</w:t>
      </w:r>
      <w:r w:rsidR="0053031C">
        <w:rPr>
          <w:rFonts w:cs="Arial"/>
          <w:kern w:val="20"/>
        </w:rPr>
        <w:t xml:space="preserve">, and </w:t>
      </w:r>
      <w:r w:rsidR="00785B82">
        <w:rPr>
          <w:rFonts w:cs="Arial"/>
          <w:kern w:val="20"/>
        </w:rPr>
        <w:t xml:space="preserve">provider </w:t>
      </w:r>
      <w:r w:rsidR="00AA73B3">
        <w:rPr>
          <w:rFonts w:cs="Arial"/>
          <w:kern w:val="20"/>
        </w:rPr>
        <w:t xml:space="preserve">knowledge of the </w:t>
      </w:r>
      <w:r w:rsidR="00785B82">
        <w:rPr>
          <w:rFonts w:cs="Arial"/>
          <w:kern w:val="20"/>
        </w:rPr>
        <w:t>interpretation services requirement</w:t>
      </w:r>
      <w:r w:rsidR="00B873B6">
        <w:rPr>
          <w:rFonts w:cs="Arial"/>
          <w:kern w:val="20"/>
        </w:rPr>
        <w:t>s</w:t>
      </w:r>
      <w:r w:rsidR="0053031C">
        <w:rPr>
          <w:rFonts w:cs="Arial"/>
          <w:kern w:val="20"/>
        </w:rPr>
        <w:t xml:space="preserve"> </w:t>
      </w:r>
      <w:r>
        <w:rPr>
          <w:rFonts w:cs="Arial"/>
          <w:kern w:val="20"/>
        </w:rPr>
        <w:t xml:space="preserve">as </w:t>
      </w:r>
      <w:r w:rsidR="004D3F04">
        <w:rPr>
          <w:rFonts w:cs="Arial"/>
          <w:kern w:val="20"/>
        </w:rPr>
        <w:t>outlined</w:t>
      </w:r>
      <w:r>
        <w:rPr>
          <w:rFonts w:cs="Arial"/>
          <w:kern w:val="20"/>
        </w:rPr>
        <w:t xml:space="preserve"> </w:t>
      </w:r>
      <w:r w:rsidR="008F1E16">
        <w:rPr>
          <w:rFonts w:cs="Arial"/>
          <w:kern w:val="20"/>
        </w:rPr>
        <w:t>in the Threshold Concentration Chart below</w:t>
      </w:r>
      <w:r>
        <w:rPr>
          <w:rFonts w:cs="Arial"/>
          <w:kern w:val="20"/>
        </w:rPr>
        <w:t>.</w:t>
      </w:r>
      <w:r w:rsidR="004D3F04">
        <w:rPr>
          <w:rStyle w:val="FootnoteReference"/>
          <w:rFonts w:cs="Arial"/>
          <w:kern w:val="20"/>
        </w:rPr>
        <w:footnoteReference w:id="22"/>
      </w:r>
      <w:r w:rsidR="00785B82">
        <w:rPr>
          <w:rFonts w:cs="Arial"/>
          <w:kern w:val="20"/>
        </w:rPr>
        <w:t xml:space="preserve"> </w:t>
      </w:r>
    </w:p>
    <w:p w14:paraId="041C3D0B" w14:textId="77777777" w:rsidR="0053031C" w:rsidRDefault="0053031C">
      <w:pPr>
        <w:rPr>
          <w:rFonts w:cs="Arial"/>
          <w:kern w:val="20"/>
        </w:rPr>
      </w:pPr>
    </w:p>
    <w:p w14:paraId="10C59D7A" w14:textId="77777777" w:rsidR="00AA73B3" w:rsidRDefault="00AA73B3">
      <w:pPr>
        <w:rPr>
          <w:rFonts w:cs="Arial"/>
          <w:kern w:val="20"/>
        </w:rPr>
      </w:pPr>
    </w:p>
    <w:p w14:paraId="3E28D72D" w14:textId="517468E2" w:rsidR="008F1E16" w:rsidRDefault="008F1E16">
      <w:pPr>
        <w:rPr>
          <w:rFonts w:cs="Arial"/>
          <w:i/>
          <w:kern w:val="20"/>
        </w:rPr>
      </w:pPr>
    </w:p>
    <w:p w14:paraId="5D3791C3" w14:textId="4C7C4F6D" w:rsidR="00072389" w:rsidRDefault="00BB4D84">
      <w:pPr>
        <w:rPr>
          <w:rFonts w:cs="Arial"/>
          <w:kern w:val="20"/>
        </w:rPr>
      </w:pPr>
      <w:r>
        <w:rPr>
          <w:rFonts w:cs="Arial"/>
          <w:b/>
          <w:kern w:val="20"/>
        </w:rPr>
        <w:lastRenderedPageBreak/>
        <w:t>Threshold Compliance</w:t>
      </w:r>
      <w:r w:rsidR="008F1E16" w:rsidRPr="008E2EB6">
        <w:rPr>
          <w:rFonts w:cs="Arial"/>
          <w:b/>
          <w:kern w:val="20"/>
        </w:rPr>
        <w:t xml:space="preserve"> Chart</w:t>
      </w:r>
    </w:p>
    <w:tbl>
      <w:tblPr>
        <w:tblStyle w:val="TableGrid"/>
        <w:tblW w:w="0" w:type="auto"/>
        <w:tblLook w:val="04A0" w:firstRow="1" w:lastRow="0" w:firstColumn="1" w:lastColumn="0" w:noHBand="0" w:noVBand="1"/>
      </w:tblPr>
      <w:tblGrid>
        <w:gridCol w:w="6295"/>
        <w:gridCol w:w="3055"/>
      </w:tblGrid>
      <w:tr w:rsidR="00072389" w14:paraId="4F128129" w14:textId="77777777" w:rsidTr="00343EC5">
        <w:trPr>
          <w:trHeight w:val="386"/>
        </w:trPr>
        <w:tc>
          <w:tcPr>
            <w:tcW w:w="6295" w:type="dxa"/>
            <w:vAlign w:val="center"/>
          </w:tcPr>
          <w:p w14:paraId="0D8FE8DF" w14:textId="21376F96" w:rsidR="00072389" w:rsidRDefault="00E72B44" w:rsidP="00343EC5">
            <w:pPr>
              <w:pStyle w:val="Default"/>
              <w:rPr>
                <w:b/>
              </w:rPr>
            </w:pPr>
            <w:r>
              <w:rPr>
                <w:b/>
              </w:rPr>
              <w:t xml:space="preserve">Timely Access </w:t>
            </w:r>
            <w:r w:rsidR="008F1E16">
              <w:rPr>
                <w:b/>
              </w:rPr>
              <w:t>Category</w:t>
            </w:r>
          </w:p>
        </w:tc>
        <w:tc>
          <w:tcPr>
            <w:tcW w:w="3055" w:type="dxa"/>
            <w:vAlign w:val="center"/>
          </w:tcPr>
          <w:p w14:paraId="64E562F7" w14:textId="66C0A143" w:rsidR="00072389" w:rsidRDefault="00102D5E" w:rsidP="00343EC5">
            <w:pPr>
              <w:pStyle w:val="Default"/>
              <w:rPr>
                <w:b/>
              </w:rPr>
            </w:pPr>
            <w:r>
              <w:rPr>
                <w:b/>
              </w:rPr>
              <w:t xml:space="preserve">Annual </w:t>
            </w:r>
            <w:r w:rsidR="00804B5F">
              <w:rPr>
                <w:b/>
              </w:rPr>
              <w:t>Threshold</w:t>
            </w:r>
            <w:r w:rsidR="00BB4D84">
              <w:rPr>
                <w:b/>
              </w:rPr>
              <w:t xml:space="preserve"> Compliance</w:t>
            </w:r>
            <w:r>
              <w:rPr>
                <w:b/>
              </w:rPr>
              <w:t xml:space="preserve"> Rate</w:t>
            </w:r>
          </w:p>
        </w:tc>
      </w:tr>
      <w:tr w:rsidR="00072389" w14:paraId="5A71BB68" w14:textId="77777777" w:rsidTr="00343EC5">
        <w:tc>
          <w:tcPr>
            <w:tcW w:w="6295" w:type="dxa"/>
          </w:tcPr>
          <w:p w14:paraId="13F1DD29" w14:textId="06F76408" w:rsidR="00072389" w:rsidRDefault="008F1E16" w:rsidP="00343EC5">
            <w:pPr>
              <w:pStyle w:val="Default"/>
              <w:rPr>
                <w:i/>
                <w:u w:val="single"/>
              </w:rPr>
            </w:pPr>
            <w:r>
              <w:t xml:space="preserve">Urgent </w:t>
            </w:r>
            <w:r w:rsidR="00072389">
              <w:t>Adult PC</w:t>
            </w:r>
            <w:r>
              <w:t>P</w:t>
            </w:r>
            <w:r w:rsidR="006E7D68">
              <w:t xml:space="preserve"> Appointment</w:t>
            </w:r>
          </w:p>
        </w:tc>
        <w:tc>
          <w:tcPr>
            <w:tcW w:w="3055" w:type="dxa"/>
          </w:tcPr>
          <w:p w14:paraId="40BE2A83" w14:textId="5BC52E78" w:rsidR="00072389" w:rsidRPr="002E3885" w:rsidRDefault="00804B5F" w:rsidP="00343EC5">
            <w:pPr>
              <w:pStyle w:val="Default"/>
            </w:pPr>
            <w:r>
              <w:t>80%</w:t>
            </w:r>
          </w:p>
        </w:tc>
      </w:tr>
      <w:tr w:rsidR="00804B5F" w14:paraId="68603827" w14:textId="77777777" w:rsidTr="00343EC5">
        <w:tc>
          <w:tcPr>
            <w:tcW w:w="6295" w:type="dxa"/>
          </w:tcPr>
          <w:p w14:paraId="73029A6C" w14:textId="369487D6" w:rsidR="00804B5F" w:rsidRDefault="008F1E16" w:rsidP="0039746F">
            <w:pPr>
              <w:pStyle w:val="Default"/>
            </w:pPr>
            <w:r>
              <w:t xml:space="preserve">Urgent </w:t>
            </w:r>
            <w:r w:rsidR="00804B5F">
              <w:t>Pediatric PCP</w:t>
            </w:r>
            <w:r w:rsidR="006E7D68">
              <w:t xml:space="preserve"> Appointment</w:t>
            </w:r>
          </w:p>
        </w:tc>
        <w:tc>
          <w:tcPr>
            <w:tcW w:w="3055" w:type="dxa"/>
          </w:tcPr>
          <w:p w14:paraId="45EB2110" w14:textId="3D29788E" w:rsidR="00804B5F" w:rsidRPr="002E3885" w:rsidDel="00804B5F" w:rsidRDefault="00804B5F" w:rsidP="00343EC5">
            <w:pPr>
              <w:pStyle w:val="Default"/>
            </w:pPr>
            <w:r>
              <w:t>80%</w:t>
            </w:r>
          </w:p>
        </w:tc>
      </w:tr>
      <w:tr w:rsidR="00072389" w14:paraId="67016946" w14:textId="77777777" w:rsidTr="00343EC5">
        <w:tc>
          <w:tcPr>
            <w:tcW w:w="6295" w:type="dxa"/>
          </w:tcPr>
          <w:p w14:paraId="582F5A20" w14:textId="58A852A7" w:rsidR="00072389" w:rsidRDefault="008F1E16" w:rsidP="0039746F">
            <w:pPr>
              <w:pStyle w:val="Default"/>
              <w:rPr>
                <w:i/>
                <w:u w:val="single"/>
              </w:rPr>
            </w:pPr>
            <w:r>
              <w:t xml:space="preserve">Non-Urgent </w:t>
            </w:r>
            <w:r w:rsidR="00072389">
              <w:t>Adult</w:t>
            </w:r>
            <w:r>
              <w:t xml:space="preserve"> PCP</w:t>
            </w:r>
            <w:r w:rsidR="00072389">
              <w:t xml:space="preserve"> </w:t>
            </w:r>
            <w:r w:rsidR="006E7D68">
              <w:t>Appointment</w:t>
            </w:r>
          </w:p>
        </w:tc>
        <w:tc>
          <w:tcPr>
            <w:tcW w:w="3055" w:type="dxa"/>
          </w:tcPr>
          <w:p w14:paraId="2BA15332" w14:textId="7B2BF933" w:rsidR="00072389" w:rsidRDefault="008F1E16" w:rsidP="00343EC5">
            <w:pPr>
              <w:pStyle w:val="Default"/>
              <w:rPr>
                <w:i/>
                <w:u w:val="single"/>
              </w:rPr>
            </w:pPr>
            <w:r>
              <w:t>80%</w:t>
            </w:r>
          </w:p>
        </w:tc>
      </w:tr>
      <w:tr w:rsidR="008F1E16" w14:paraId="7DAB5DCB" w14:textId="77777777" w:rsidTr="00343EC5">
        <w:tc>
          <w:tcPr>
            <w:tcW w:w="6295" w:type="dxa"/>
          </w:tcPr>
          <w:p w14:paraId="6C293600" w14:textId="2651957D" w:rsidR="008F1E16" w:rsidRDefault="008F1E16" w:rsidP="0039746F">
            <w:pPr>
              <w:pStyle w:val="Default"/>
            </w:pPr>
            <w:r>
              <w:t xml:space="preserve">Non-Urgent Pediatric PCP </w:t>
            </w:r>
            <w:r w:rsidR="006E7D68">
              <w:t>Appointment</w:t>
            </w:r>
          </w:p>
        </w:tc>
        <w:tc>
          <w:tcPr>
            <w:tcW w:w="3055" w:type="dxa"/>
          </w:tcPr>
          <w:p w14:paraId="04098E79" w14:textId="3792C5A8" w:rsidR="008F1E16" w:rsidDel="00804B5F" w:rsidRDefault="008F1E16" w:rsidP="00343EC5">
            <w:pPr>
              <w:pStyle w:val="Default"/>
            </w:pPr>
            <w:r>
              <w:t>80%</w:t>
            </w:r>
          </w:p>
        </w:tc>
      </w:tr>
      <w:tr w:rsidR="00072389" w14:paraId="01CDA3D2" w14:textId="77777777" w:rsidTr="00343EC5">
        <w:tc>
          <w:tcPr>
            <w:tcW w:w="6295" w:type="dxa"/>
          </w:tcPr>
          <w:p w14:paraId="3C30808A" w14:textId="4957D657" w:rsidR="00072389" w:rsidRDefault="008F1E16" w:rsidP="0039746F">
            <w:pPr>
              <w:pStyle w:val="Default"/>
            </w:pPr>
            <w:r>
              <w:t xml:space="preserve">Urgent </w:t>
            </w:r>
            <w:r w:rsidR="00043B88">
              <w:t xml:space="preserve">Adult Specialist </w:t>
            </w:r>
            <w:r w:rsidR="006E7D68">
              <w:t>Appointment</w:t>
            </w:r>
          </w:p>
        </w:tc>
        <w:tc>
          <w:tcPr>
            <w:tcW w:w="3055" w:type="dxa"/>
          </w:tcPr>
          <w:p w14:paraId="2BC00D5E" w14:textId="42EE4B7A" w:rsidR="00072389" w:rsidRDefault="008F1E16" w:rsidP="00343EC5">
            <w:pPr>
              <w:pStyle w:val="Default"/>
            </w:pPr>
            <w:r>
              <w:t>80%</w:t>
            </w:r>
          </w:p>
        </w:tc>
      </w:tr>
      <w:tr w:rsidR="008F1E16" w14:paraId="749E8809" w14:textId="77777777" w:rsidTr="00343EC5">
        <w:tc>
          <w:tcPr>
            <w:tcW w:w="6295" w:type="dxa"/>
          </w:tcPr>
          <w:p w14:paraId="12176724" w14:textId="301012B7" w:rsidR="008F1E16" w:rsidRDefault="008F1E16" w:rsidP="0039746F">
            <w:pPr>
              <w:pStyle w:val="Default"/>
            </w:pPr>
            <w:r>
              <w:t xml:space="preserve">Urgent Pediatric Specialist </w:t>
            </w:r>
            <w:r w:rsidR="006E7D68">
              <w:t>Appointment</w:t>
            </w:r>
          </w:p>
        </w:tc>
        <w:tc>
          <w:tcPr>
            <w:tcW w:w="3055" w:type="dxa"/>
          </w:tcPr>
          <w:p w14:paraId="26DC831C" w14:textId="398C00E8" w:rsidR="008F1E16" w:rsidRDefault="008F1E16" w:rsidP="00343EC5">
            <w:pPr>
              <w:pStyle w:val="Default"/>
            </w:pPr>
            <w:r>
              <w:t>80%</w:t>
            </w:r>
          </w:p>
        </w:tc>
      </w:tr>
      <w:tr w:rsidR="00072389" w14:paraId="4C2CA98E" w14:textId="77777777" w:rsidTr="00343EC5">
        <w:tc>
          <w:tcPr>
            <w:tcW w:w="6295" w:type="dxa"/>
          </w:tcPr>
          <w:p w14:paraId="49126C81" w14:textId="570741DA" w:rsidR="00072389" w:rsidRDefault="008F1E16" w:rsidP="0039746F">
            <w:pPr>
              <w:pStyle w:val="Default"/>
              <w:rPr>
                <w:i/>
                <w:u w:val="single"/>
              </w:rPr>
            </w:pPr>
            <w:r>
              <w:t xml:space="preserve">Non-Urgent </w:t>
            </w:r>
            <w:r w:rsidR="00043B88">
              <w:t xml:space="preserve">Adult Specialist </w:t>
            </w:r>
            <w:r w:rsidR="006E7D68">
              <w:t>Appointment</w:t>
            </w:r>
          </w:p>
        </w:tc>
        <w:tc>
          <w:tcPr>
            <w:tcW w:w="3055" w:type="dxa"/>
          </w:tcPr>
          <w:p w14:paraId="62D97A10" w14:textId="0E7EFA08" w:rsidR="00072389" w:rsidRDefault="008F1E16" w:rsidP="00343EC5">
            <w:pPr>
              <w:pStyle w:val="Default"/>
              <w:rPr>
                <w:i/>
                <w:u w:val="single"/>
              </w:rPr>
            </w:pPr>
            <w:r>
              <w:t>80%</w:t>
            </w:r>
          </w:p>
        </w:tc>
      </w:tr>
      <w:tr w:rsidR="008F1E16" w14:paraId="554598A4" w14:textId="77777777" w:rsidTr="00343EC5">
        <w:tc>
          <w:tcPr>
            <w:tcW w:w="6295" w:type="dxa"/>
          </w:tcPr>
          <w:p w14:paraId="4B8422EB" w14:textId="65D8ABE3" w:rsidR="008F1E16" w:rsidRDefault="008F1E16" w:rsidP="0039746F">
            <w:pPr>
              <w:pStyle w:val="Default"/>
            </w:pPr>
            <w:r>
              <w:t xml:space="preserve">Non-Urgent Pediatric Specialist </w:t>
            </w:r>
            <w:r w:rsidR="006E7D68">
              <w:t>Appointment</w:t>
            </w:r>
          </w:p>
        </w:tc>
        <w:tc>
          <w:tcPr>
            <w:tcW w:w="3055" w:type="dxa"/>
          </w:tcPr>
          <w:p w14:paraId="273C7447" w14:textId="1105E285" w:rsidR="008F1E16" w:rsidRDefault="008F1E16" w:rsidP="00343EC5">
            <w:pPr>
              <w:pStyle w:val="Default"/>
            </w:pPr>
            <w:r>
              <w:t>80%</w:t>
            </w:r>
          </w:p>
        </w:tc>
      </w:tr>
      <w:tr w:rsidR="00BB4D84" w14:paraId="23991245" w14:textId="77777777" w:rsidTr="00343EC5">
        <w:tc>
          <w:tcPr>
            <w:tcW w:w="6295" w:type="dxa"/>
          </w:tcPr>
          <w:p w14:paraId="3F3A946F" w14:textId="5D168ACB" w:rsidR="00BB4D84" w:rsidRDefault="00BB4D84">
            <w:pPr>
              <w:pStyle w:val="Default"/>
            </w:pPr>
            <w:r>
              <w:t>Member Services Telephone Wait Times</w:t>
            </w:r>
            <w:r w:rsidR="00102D5E">
              <w:t xml:space="preserve"> that are 10 Minutes or Less</w:t>
            </w:r>
          </w:p>
        </w:tc>
        <w:tc>
          <w:tcPr>
            <w:tcW w:w="3055" w:type="dxa"/>
          </w:tcPr>
          <w:p w14:paraId="455D33CD" w14:textId="2C52F0F6" w:rsidR="00BB4D84" w:rsidRDefault="00BB4D84" w:rsidP="00343EC5">
            <w:pPr>
              <w:pStyle w:val="Default"/>
            </w:pPr>
            <w:r>
              <w:t>90%</w:t>
            </w:r>
          </w:p>
        </w:tc>
      </w:tr>
      <w:tr w:rsidR="00BB4D84" w14:paraId="221769CF" w14:textId="77777777" w:rsidTr="00343EC5">
        <w:tc>
          <w:tcPr>
            <w:tcW w:w="6295" w:type="dxa"/>
          </w:tcPr>
          <w:p w14:paraId="558D0565" w14:textId="7586BB72" w:rsidR="00BB4D84" w:rsidRDefault="00102D5E" w:rsidP="0039746F">
            <w:pPr>
              <w:pStyle w:val="Default"/>
            </w:pPr>
            <w:r>
              <w:t xml:space="preserve">Providers Demonstrating Knowledge of </w:t>
            </w:r>
            <w:r w:rsidR="00BB4D84">
              <w:t>Interpretation Service</w:t>
            </w:r>
            <w:r>
              <w:t xml:space="preserve"> Requirements</w:t>
            </w:r>
          </w:p>
        </w:tc>
        <w:tc>
          <w:tcPr>
            <w:tcW w:w="3055" w:type="dxa"/>
          </w:tcPr>
          <w:p w14:paraId="1E14E164" w14:textId="177F10DF" w:rsidR="00BB4D84" w:rsidRDefault="00BB4D84" w:rsidP="00343EC5">
            <w:pPr>
              <w:pStyle w:val="Default"/>
            </w:pPr>
            <w:r>
              <w:t>90%</w:t>
            </w:r>
          </w:p>
        </w:tc>
      </w:tr>
    </w:tbl>
    <w:p w14:paraId="3C2DA44A" w14:textId="77777777" w:rsidR="009D47C2" w:rsidRDefault="009D47C2" w:rsidP="009D47C2">
      <w:pPr>
        <w:pStyle w:val="ListParagraph"/>
        <w:ind w:left="1510"/>
        <w:rPr>
          <w:rFonts w:ascii="Arial" w:hAnsi="Arial" w:cs="Arial"/>
          <w:kern w:val="20"/>
        </w:rPr>
      </w:pPr>
    </w:p>
    <w:p w14:paraId="7756B8E0" w14:textId="245012DD" w:rsidR="00AA73B3" w:rsidRPr="00FA288A" w:rsidRDefault="00AA73B3" w:rsidP="00AA73B3">
      <w:pPr>
        <w:rPr>
          <w:rFonts w:cs="Arial"/>
          <w:kern w:val="20"/>
        </w:rPr>
      </w:pPr>
      <w:r w:rsidRPr="00FE05FA">
        <w:rPr>
          <w:rFonts w:cs="Arial"/>
          <w:kern w:val="20"/>
        </w:rPr>
        <w:t xml:space="preserve">DHCS </w:t>
      </w:r>
      <w:r>
        <w:rPr>
          <w:rFonts w:cs="Arial"/>
          <w:kern w:val="20"/>
        </w:rPr>
        <w:t>determined</w:t>
      </w:r>
      <w:r w:rsidRPr="00FE05FA">
        <w:rPr>
          <w:rFonts w:cs="Arial"/>
          <w:kern w:val="20"/>
        </w:rPr>
        <w:t xml:space="preserve"> </w:t>
      </w:r>
      <w:r w:rsidR="00B873B6">
        <w:rPr>
          <w:rFonts w:cs="Arial"/>
          <w:kern w:val="20"/>
        </w:rPr>
        <w:t>the annual threshold compliance rates</w:t>
      </w:r>
      <w:r>
        <w:rPr>
          <w:rFonts w:cs="Arial"/>
          <w:kern w:val="20"/>
        </w:rPr>
        <w:t xml:space="preserve"> for timely access standards by</w:t>
      </w:r>
      <w:r w:rsidRPr="00FE05FA">
        <w:rPr>
          <w:rFonts w:cs="Arial"/>
          <w:kern w:val="20"/>
        </w:rPr>
        <w:t xml:space="preserve"> </w:t>
      </w:r>
      <w:r>
        <w:rPr>
          <w:rFonts w:cs="Arial"/>
          <w:kern w:val="20"/>
        </w:rPr>
        <w:t>utilizing the MCPs’ statewide</w:t>
      </w:r>
      <w:r w:rsidRPr="00FE05FA">
        <w:rPr>
          <w:rFonts w:cs="Arial"/>
          <w:kern w:val="20"/>
        </w:rPr>
        <w:t xml:space="preserve"> average compliance</w:t>
      </w:r>
      <w:r>
        <w:rPr>
          <w:rFonts w:cs="Arial"/>
          <w:kern w:val="20"/>
        </w:rPr>
        <w:t xml:space="preserve"> rate,</w:t>
      </w:r>
      <w:r w:rsidRPr="00FE05FA">
        <w:rPr>
          <w:rStyle w:val="FootnoteReference"/>
          <w:rFonts w:cs="Arial"/>
          <w:kern w:val="20"/>
        </w:rPr>
        <w:footnoteReference w:id="23"/>
      </w:r>
      <w:r w:rsidRPr="00FE05FA">
        <w:rPr>
          <w:rFonts w:cs="Arial"/>
          <w:kern w:val="20"/>
        </w:rPr>
        <w:t xml:space="preserve"> </w:t>
      </w:r>
      <w:r>
        <w:rPr>
          <w:rFonts w:cs="Arial"/>
          <w:kern w:val="20"/>
        </w:rPr>
        <w:t xml:space="preserve">taking into account the </w:t>
      </w:r>
      <w:r w:rsidR="001F7A56">
        <w:rPr>
          <w:rFonts w:cs="Arial"/>
          <w:kern w:val="20"/>
        </w:rPr>
        <w:t xml:space="preserve">relative </w:t>
      </w:r>
      <w:r>
        <w:rPr>
          <w:rFonts w:cs="Arial"/>
          <w:kern w:val="20"/>
        </w:rPr>
        <w:t xml:space="preserve">size of the </w:t>
      </w:r>
      <w:r w:rsidRPr="00FE05FA">
        <w:rPr>
          <w:rFonts w:cs="Arial"/>
          <w:kern w:val="20"/>
        </w:rPr>
        <w:t>MCP</w:t>
      </w:r>
      <w:r>
        <w:rPr>
          <w:rFonts w:cs="Arial"/>
          <w:kern w:val="20"/>
        </w:rPr>
        <w:t>’s provider network</w:t>
      </w:r>
      <w:r w:rsidRPr="00FE05FA">
        <w:rPr>
          <w:rFonts w:cs="Arial"/>
          <w:kern w:val="20"/>
        </w:rPr>
        <w:t xml:space="preserve">, </w:t>
      </w:r>
      <w:r w:rsidRPr="00632450">
        <w:rPr>
          <w:rFonts w:cs="Arial"/>
          <w:kern w:val="20"/>
        </w:rPr>
        <w:t>assess</w:t>
      </w:r>
      <w:r>
        <w:rPr>
          <w:rFonts w:cs="Arial"/>
          <w:kern w:val="20"/>
        </w:rPr>
        <w:t>ing data from</w:t>
      </w:r>
      <w:r w:rsidRPr="00632450">
        <w:rPr>
          <w:rFonts w:cs="Arial"/>
          <w:kern w:val="20"/>
        </w:rPr>
        <w:t xml:space="preserve"> the </w:t>
      </w:r>
      <w:r w:rsidR="001F7A56">
        <w:rPr>
          <w:rFonts w:cs="Arial"/>
          <w:kern w:val="20"/>
        </w:rPr>
        <w:t xml:space="preserve">previous year’s </w:t>
      </w:r>
      <w:r>
        <w:rPr>
          <w:rFonts w:cs="Arial"/>
          <w:kern w:val="20"/>
        </w:rPr>
        <w:t>Annual</w:t>
      </w:r>
      <w:r w:rsidRPr="00FE05FA">
        <w:rPr>
          <w:rFonts w:cs="Arial"/>
          <w:kern w:val="20"/>
        </w:rPr>
        <w:t xml:space="preserve"> Timely Access Survey, and other factors</w:t>
      </w:r>
      <w:r>
        <w:rPr>
          <w:rFonts w:cs="Arial"/>
          <w:kern w:val="20"/>
        </w:rPr>
        <w:t xml:space="preserve"> including provider availability and capacity for new and existing members</w:t>
      </w:r>
      <w:r w:rsidRPr="00FE05FA">
        <w:rPr>
          <w:rFonts w:cs="Arial"/>
          <w:kern w:val="20"/>
        </w:rPr>
        <w:t>.</w:t>
      </w:r>
      <w:r>
        <w:rPr>
          <w:rFonts w:cs="Arial"/>
          <w:kern w:val="20"/>
        </w:rPr>
        <w:t xml:space="preserve"> </w:t>
      </w:r>
    </w:p>
    <w:p w14:paraId="621DC5A2" w14:textId="77777777" w:rsidR="00AA73B3" w:rsidRDefault="00AA73B3" w:rsidP="009D47C2">
      <w:pPr>
        <w:rPr>
          <w:rFonts w:cs="Arial"/>
          <w:kern w:val="20"/>
        </w:rPr>
      </w:pPr>
    </w:p>
    <w:p w14:paraId="3F2C81FA" w14:textId="2E6E8CD6" w:rsidR="009D47C2" w:rsidRDefault="009D47C2" w:rsidP="009D47C2">
      <w:pPr>
        <w:rPr>
          <w:rFonts w:cs="Arial"/>
          <w:kern w:val="20"/>
        </w:rPr>
      </w:pPr>
      <w:r w:rsidRPr="009D47C2">
        <w:rPr>
          <w:rFonts w:cs="Arial"/>
          <w:kern w:val="20"/>
        </w:rPr>
        <w:t>While all MCPs are contractually obligated to 100%</w:t>
      </w:r>
      <w:r w:rsidR="00BB4D84">
        <w:rPr>
          <w:rFonts w:cs="Arial"/>
          <w:kern w:val="20"/>
        </w:rPr>
        <w:t xml:space="preserve"> compliance, MCPs not meeting the </w:t>
      </w:r>
      <w:r w:rsidRPr="009D47C2">
        <w:rPr>
          <w:rFonts w:cs="Arial"/>
          <w:kern w:val="20"/>
        </w:rPr>
        <w:t>annual</w:t>
      </w:r>
      <w:r w:rsidR="00BB4D84">
        <w:rPr>
          <w:rFonts w:cs="Arial"/>
          <w:kern w:val="20"/>
        </w:rPr>
        <w:t xml:space="preserve"> threshold</w:t>
      </w:r>
      <w:r w:rsidRPr="009D47C2">
        <w:rPr>
          <w:rFonts w:cs="Arial"/>
          <w:kern w:val="20"/>
        </w:rPr>
        <w:t xml:space="preserve"> compliance rate </w:t>
      </w:r>
      <w:r w:rsidR="00BB4D84">
        <w:rPr>
          <w:rFonts w:cs="Arial"/>
          <w:kern w:val="20"/>
        </w:rPr>
        <w:t xml:space="preserve">for the </w:t>
      </w:r>
      <w:r w:rsidR="00E72B44">
        <w:rPr>
          <w:rFonts w:cs="Arial"/>
          <w:kern w:val="20"/>
        </w:rPr>
        <w:t xml:space="preserve">specified categories (i.e., </w:t>
      </w:r>
      <w:r w:rsidR="00BB4D84">
        <w:rPr>
          <w:rFonts w:cs="Arial"/>
          <w:kern w:val="20"/>
        </w:rPr>
        <w:t xml:space="preserve">appointment type, member services telephone wait time, </w:t>
      </w:r>
      <w:r w:rsidR="00E72B44">
        <w:rPr>
          <w:rFonts w:cs="Arial"/>
          <w:kern w:val="20"/>
        </w:rPr>
        <w:t>or</w:t>
      </w:r>
      <w:r w:rsidR="00BB4D84">
        <w:rPr>
          <w:rFonts w:cs="Arial"/>
          <w:kern w:val="20"/>
        </w:rPr>
        <w:t xml:space="preserve"> provider</w:t>
      </w:r>
      <w:r w:rsidR="00E72B44">
        <w:rPr>
          <w:rFonts w:cs="Arial"/>
          <w:kern w:val="20"/>
        </w:rPr>
        <w:t xml:space="preserve"> demonstrating knowledge of</w:t>
      </w:r>
      <w:r w:rsidR="00BB4D84">
        <w:rPr>
          <w:rFonts w:cs="Arial"/>
          <w:kern w:val="20"/>
        </w:rPr>
        <w:t xml:space="preserve"> interpretation services</w:t>
      </w:r>
      <w:r w:rsidR="00E72B44">
        <w:rPr>
          <w:rFonts w:cs="Arial"/>
          <w:kern w:val="20"/>
        </w:rPr>
        <w:t>)</w:t>
      </w:r>
      <w:r w:rsidR="00BB4D84">
        <w:rPr>
          <w:rFonts w:cs="Arial"/>
          <w:kern w:val="20"/>
        </w:rPr>
        <w:t xml:space="preserve"> in the Threshold Compliance Chart </w:t>
      </w:r>
      <w:r w:rsidRPr="009D47C2">
        <w:rPr>
          <w:rFonts w:cs="Arial"/>
          <w:kern w:val="20"/>
        </w:rPr>
        <w:t>will be held to corrective actions and/or sanctions:</w:t>
      </w:r>
      <w:r>
        <w:rPr>
          <w:rStyle w:val="FootnoteReference"/>
          <w:rFonts w:cs="Arial"/>
          <w:kern w:val="20"/>
        </w:rPr>
        <w:footnoteReference w:id="24"/>
      </w:r>
      <w:r w:rsidRPr="009D47C2">
        <w:rPr>
          <w:rFonts w:cs="Arial"/>
          <w:kern w:val="20"/>
          <w:vertAlign w:val="superscript"/>
        </w:rPr>
        <w:t>,</w:t>
      </w:r>
      <w:r w:rsidRPr="009D47C2">
        <w:rPr>
          <w:rFonts w:cs="Arial"/>
          <w:kern w:val="20"/>
        </w:rPr>
        <w:t xml:space="preserve"> </w:t>
      </w:r>
      <w:r>
        <w:rPr>
          <w:rStyle w:val="FootnoteReference"/>
          <w:rFonts w:cs="Arial"/>
          <w:kern w:val="20"/>
        </w:rPr>
        <w:footnoteReference w:id="25"/>
      </w:r>
      <w:r w:rsidRPr="009D47C2">
        <w:rPr>
          <w:rFonts w:cs="Arial"/>
          <w:kern w:val="20"/>
          <w:vertAlign w:val="superscript"/>
        </w:rPr>
        <w:t>,</w:t>
      </w:r>
      <w:r w:rsidRPr="009D47C2">
        <w:rPr>
          <w:rStyle w:val="FootnoteReference"/>
          <w:rFonts w:cs="Arial"/>
          <w:kern w:val="20"/>
          <w:vertAlign w:val="baseline"/>
        </w:rPr>
        <w:t xml:space="preserve"> </w:t>
      </w:r>
      <w:r>
        <w:rPr>
          <w:rStyle w:val="FootnoteReference"/>
          <w:rFonts w:cs="Arial"/>
          <w:kern w:val="20"/>
        </w:rPr>
        <w:footnoteReference w:id="26"/>
      </w:r>
      <w:r w:rsidRPr="009D47C2">
        <w:rPr>
          <w:rFonts w:cs="Arial"/>
          <w:kern w:val="20"/>
          <w:vertAlign w:val="superscript"/>
        </w:rPr>
        <w:t>,</w:t>
      </w:r>
      <w:r w:rsidRPr="009D47C2">
        <w:rPr>
          <w:rFonts w:cs="Arial"/>
          <w:kern w:val="20"/>
        </w:rPr>
        <w:t xml:space="preserve"> </w:t>
      </w:r>
      <w:r>
        <w:rPr>
          <w:rStyle w:val="FootnoteReference"/>
          <w:rFonts w:cs="Arial"/>
          <w:kern w:val="20"/>
        </w:rPr>
        <w:footnoteReference w:id="27"/>
      </w:r>
      <w:r w:rsidR="00BB4D84">
        <w:rPr>
          <w:rFonts w:cs="Arial"/>
          <w:kern w:val="20"/>
        </w:rPr>
        <w:t xml:space="preserve"> MCPs falling below the listed </w:t>
      </w:r>
      <w:r w:rsidR="00102D5E">
        <w:rPr>
          <w:rFonts w:cs="Arial"/>
          <w:kern w:val="20"/>
        </w:rPr>
        <w:t xml:space="preserve">annual </w:t>
      </w:r>
      <w:r w:rsidR="00BB4D84">
        <w:rPr>
          <w:rFonts w:cs="Arial"/>
          <w:kern w:val="20"/>
        </w:rPr>
        <w:t xml:space="preserve">threshold compliance </w:t>
      </w:r>
      <w:r w:rsidR="002E6F48">
        <w:rPr>
          <w:rFonts w:cs="Arial"/>
          <w:kern w:val="20"/>
        </w:rPr>
        <w:t xml:space="preserve">rate will be considered noncompliant. </w:t>
      </w:r>
    </w:p>
    <w:p w14:paraId="61CB9946" w14:textId="316625FA" w:rsidR="00670D37" w:rsidRDefault="00670D37">
      <w:pPr>
        <w:rPr>
          <w:rFonts w:cs="Arial"/>
          <w:kern w:val="20"/>
        </w:rPr>
      </w:pPr>
    </w:p>
    <w:p w14:paraId="009BAA16" w14:textId="2D696A22" w:rsidR="003D06E7" w:rsidRDefault="00585C24">
      <w:pPr>
        <w:rPr>
          <w:rFonts w:cs="Arial"/>
          <w:kern w:val="20"/>
        </w:rPr>
      </w:pPr>
      <w:r>
        <w:rPr>
          <w:rFonts w:cs="Arial"/>
          <w:kern w:val="20"/>
        </w:rPr>
        <w:t xml:space="preserve">MCPs may provide justification for meeting a 70% threshold for </w:t>
      </w:r>
      <w:r w:rsidR="00714585">
        <w:rPr>
          <w:rFonts w:cs="Arial"/>
          <w:kern w:val="20"/>
        </w:rPr>
        <w:t xml:space="preserve">PCPs and </w:t>
      </w:r>
      <w:r w:rsidR="00F751F0">
        <w:rPr>
          <w:rFonts w:cs="Arial"/>
          <w:kern w:val="20"/>
        </w:rPr>
        <w:t>s</w:t>
      </w:r>
      <w:r w:rsidR="00714585">
        <w:rPr>
          <w:rFonts w:cs="Arial"/>
          <w:kern w:val="20"/>
        </w:rPr>
        <w:t xml:space="preserve">pecialists in </w:t>
      </w:r>
      <w:r w:rsidR="00B83B7B">
        <w:rPr>
          <w:rFonts w:cs="Arial"/>
          <w:kern w:val="20"/>
        </w:rPr>
        <w:t xml:space="preserve">rural areas and </w:t>
      </w:r>
      <w:r w:rsidR="00F751F0">
        <w:rPr>
          <w:rFonts w:cs="Arial"/>
          <w:kern w:val="20"/>
        </w:rPr>
        <w:t xml:space="preserve">it </w:t>
      </w:r>
      <w:r w:rsidR="00B83B7B">
        <w:rPr>
          <w:rFonts w:cs="Arial"/>
          <w:kern w:val="20"/>
        </w:rPr>
        <w:t>is up to DHCS’ discretion on whether that will be consider</w:t>
      </w:r>
      <w:r w:rsidR="00191338">
        <w:rPr>
          <w:rFonts w:cs="Arial"/>
          <w:kern w:val="20"/>
        </w:rPr>
        <w:t>ed</w:t>
      </w:r>
      <w:r w:rsidR="00B83B7B">
        <w:rPr>
          <w:rFonts w:cs="Arial"/>
          <w:kern w:val="20"/>
        </w:rPr>
        <w:t xml:space="preserve"> when assessing compliance with timely access standards</w:t>
      </w:r>
      <w:r>
        <w:rPr>
          <w:rFonts w:cs="Arial"/>
          <w:kern w:val="20"/>
        </w:rPr>
        <w:t>.</w:t>
      </w:r>
      <w:r w:rsidR="00714585">
        <w:rPr>
          <w:rFonts w:cs="Arial"/>
          <w:kern w:val="20"/>
        </w:rPr>
        <w:t xml:space="preserve"> </w:t>
      </w:r>
      <w:r w:rsidR="00670D37">
        <w:rPr>
          <w:rFonts w:cs="Arial"/>
          <w:kern w:val="20"/>
        </w:rPr>
        <w:t xml:space="preserve">DHCS may </w:t>
      </w:r>
      <w:r>
        <w:rPr>
          <w:rFonts w:cs="Arial"/>
          <w:kern w:val="20"/>
        </w:rPr>
        <w:t xml:space="preserve">also </w:t>
      </w:r>
      <w:r w:rsidR="00670D37">
        <w:rPr>
          <w:rFonts w:cs="Arial"/>
          <w:kern w:val="20"/>
        </w:rPr>
        <w:t xml:space="preserve">allow telehealth </w:t>
      </w:r>
      <w:r w:rsidR="00670D37">
        <w:rPr>
          <w:rFonts w:cs="Arial"/>
          <w:kern w:val="20"/>
        </w:rPr>
        <w:lastRenderedPageBreak/>
        <w:t xml:space="preserve">appointments to account for MCP compliance with timely access standards. If a provider offers a telehealth appointment </w:t>
      </w:r>
      <w:r w:rsidR="001A1391">
        <w:rPr>
          <w:rFonts w:cs="Arial"/>
          <w:kern w:val="20"/>
        </w:rPr>
        <w:t xml:space="preserve">sooner </w:t>
      </w:r>
      <w:r w:rsidR="00670D37">
        <w:rPr>
          <w:rFonts w:cs="Arial"/>
          <w:kern w:val="20"/>
        </w:rPr>
        <w:t xml:space="preserve">than an in-person appointment, DHCS may use the telehealth appointment when calculating the compliance threshold. </w:t>
      </w:r>
    </w:p>
    <w:p w14:paraId="32AC7573" w14:textId="77777777" w:rsidR="00670D37" w:rsidRDefault="00670D37">
      <w:pPr>
        <w:rPr>
          <w:rFonts w:cs="Arial"/>
          <w:kern w:val="20"/>
        </w:rPr>
      </w:pPr>
    </w:p>
    <w:p w14:paraId="604EF3D7" w14:textId="77777777" w:rsidR="00AF58B3" w:rsidRDefault="00AF58B3">
      <w:pPr>
        <w:rPr>
          <w:rFonts w:cs="Arial"/>
          <w:b/>
          <w:kern w:val="20"/>
          <w:u w:val="single"/>
        </w:rPr>
      </w:pPr>
      <w:r>
        <w:rPr>
          <w:rFonts w:cs="Arial"/>
          <w:b/>
          <w:kern w:val="20"/>
          <w:u w:val="single"/>
        </w:rPr>
        <w:t>Timely Access Oversight</w:t>
      </w:r>
    </w:p>
    <w:p w14:paraId="6D9055DC" w14:textId="0F3C3501" w:rsidR="0063419A" w:rsidRDefault="00A85754">
      <w:pPr>
        <w:rPr>
          <w:rFonts w:cs="Arial"/>
          <w:kern w:val="20"/>
        </w:rPr>
      </w:pPr>
      <w:r>
        <w:rPr>
          <w:rFonts w:cs="Arial"/>
          <w:kern w:val="20"/>
        </w:rPr>
        <w:t>MCPs must develop, implement, and maintain procedures to ensure compliance with requirements for members to obtain timely access to appointments for routine care, urgent care, and routine specialty referral appointments</w:t>
      </w:r>
      <w:r w:rsidR="00E02CFD">
        <w:rPr>
          <w:rFonts w:cs="Arial"/>
          <w:kern w:val="20"/>
        </w:rPr>
        <w:t>,</w:t>
      </w:r>
      <w:r w:rsidR="002D7B2E">
        <w:rPr>
          <w:rFonts w:cs="Arial"/>
          <w:kern w:val="20"/>
        </w:rPr>
        <w:t xml:space="preserve"> an</w:t>
      </w:r>
      <w:r w:rsidR="00960DAE">
        <w:rPr>
          <w:rFonts w:cs="Arial"/>
          <w:kern w:val="20"/>
        </w:rPr>
        <w:t>d</w:t>
      </w:r>
      <w:r w:rsidR="002D7B2E">
        <w:rPr>
          <w:rFonts w:cs="Arial"/>
          <w:kern w:val="20"/>
        </w:rPr>
        <w:t xml:space="preserve"> timely access standards for telephone wait times.</w:t>
      </w:r>
      <w:r w:rsidR="002E6F72">
        <w:rPr>
          <w:rFonts w:cs="Arial"/>
          <w:kern w:val="20"/>
        </w:rPr>
        <w:t xml:space="preserve"> These procedures must describe how the MCPs </w:t>
      </w:r>
      <w:r w:rsidR="00960DAE">
        <w:rPr>
          <w:rFonts w:cs="Arial"/>
          <w:kern w:val="20"/>
        </w:rPr>
        <w:t xml:space="preserve">monitor and evaluate timely access and address issues proactively. For example, </w:t>
      </w:r>
      <w:r w:rsidR="00A61DEE">
        <w:rPr>
          <w:rFonts w:cs="Arial"/>
          <w:kern w:val="20"/>
        </w:rPr>
        <w:t xml:space="preserve">to identify areas of </w:t>
      </w:r>
      <w:r w:rsidR="002205EA">
        <w:rPr>
          <w:rFonts w:cs="Arial"/>
          <w:kern w:val="20"/>
        </w:rPr>
        <w:t xml:space="preserve">timely access </w:t>
      </w:r>
      <w:r w:rsidR="00A61DEE">
        <w:rPr>
          <w:rFonts w:cs="Arial"/>
          <w:kern w:val="20"/>
        </w:rPr>
        <w:t>concern</w:t>
      </w:r>
      <w:r w:rsidR="002205EA">
        <w:rPr>
          <w:rFonts w:cs="Arial"/>
          <w:kern w:val="20"/>
        </w:rPr>
        <w:t>s</w:t>
      </w:r>
      <w:r w:rsidR="00A61DEE">
        <w:rPr>
          <w:rFonts w:cs="Arial"/>
          <w:kern w:val="20"/>
        </w:rPr>
        <w:t xml:space="preserve">, </w:t>
      </w:r>
      <w:r w:rsidR="00960DAE">
        <w:rPr>
          <w:rFonts w:cs="Arial"/>
          <w:kern w:val="20"/>
        </w:rPr>
        <w:t>MCPs may monitor grievances and appeals data</w:t>
      </w:r>
      <w:r w:rsidR="00A61DEE">
        <w:rPr>
          <w:rFonts w:cs="Arial"/>
          <w:kern w:val="20"/>
        </w:rPr>
        <w:t xml:space="preserve">; </w:t>
      </w:r>
      <w:r w:rsidR="002E6F72">
        <w:rPr>
          <w:rFonts w:cs="Arial"/>
          <w:kern w:val="20"/>
        </w:rPr>
        <w:t>distribution service area maps indicating location and number of members in comparison with providers</w:t>
      </w:r>
      <w:r w:rsidR="00A61DEE">
        <w:rPr>
          <w:rFonts w:cs="Arial"/>
          <w:kern w:val="20"/>
        </w:rPr>
        <w:t>; or primary health care access reports that provide information on provider distributions and closed practices</w:t>
      </w:r>
      <w:r w:rsidR="00960DAE">
        <w:rPr>
          <w:rFonts w:cs="Arial"/>
          <w:kern w:val="20"/>
        </w:rPr>
        <w:t xml:space="preserve">. </w:t>
      </w:r>
      <w:r w:rsidR="002D7B2E">
        <w:rPr>
          <w:rFonts w:cs="Arial"/>
          <w:kern w:val="20"/>
        </w:rPr>
        <w:t xml:space="preserve">MCPs must </w:t>
      </w:r>
      <w:r w:rsidR="002E6F72">
        <w:rPr>
          <w:rFonts w:cs="Arial"/>
          <w:kern w:val="20"/>
        </w:rPr>
        <w:t xml:space="preserve">also </w:t>
      </w:r>
      <w:r w:rsidR="002D7B2E">
        <w:rPr>
          <w:rFonts w:cs="Arial"/>
          <w:kern w:val="20"/>
        </w:rPr>
        <w:t xml:space="preserve">continuously monitor and enforce network providers’, subcontractors’, and </w:t>
      </w:r>
      <w:r w:rsidR="00B873B6">
        <w:rPr>
          <w:rFonts w:cs="Arial"/>
          <w:kern w:val="20"/>
        </w:rPr>
        <w:t>downstream subcontractors’</w:t>
      </w:r>
      <w:r w:rsidR="002D7B2E">
        <w:rPr>
          <w:rFonts w:cs="Arial"/>
          <w:kern w:val="20"/>
        </w:rPr>
        <w:t xml:space="preserve"> compliance with the requirements </w:t>
      </w:r>
      <w:r w:rsidR="00E02CFD">
        <w:rPr>
          <w:rFonts w:cs="Arial"/>
          <w:kern w:val="20"/>
        </w:rPr>
        <w:t xml:space="preserve">in </w:t>
      </w:r>
      <w:r w:rsidR="002D7B2E">
        <w:rPr>
          <w:rFonts w:cs="Arial"/>
          <w:kern w:val="20"/>
        </w:rPr>
        <w:t xml:space="preserve">28 CCR section 1300.67.2.2 and the timely access requirements in the MCP contract. </w:t>
      </w:r>
    </w:p>
    <w:p w14:paraId="636CF461" w14:textId="383C45CA" w:rsidR="00AF58B3" w:rsidRDefault="00AF58B3">
      <w:pPr>
        <w:rPr>
          <w:rFonts w:cs="Arial"/>
          <w:b/>
          <w:kern w:val="20"/>
          <w:u w:val="single"/>
        </w:rPr>
      </w:pPr>
    </w:p>
    <w:p w14:paraId="4BB0DA7A" w14:textId="6B750C6F" w:rsidR="003D06E7" w:rsidRDefault="0014641F">
      <w:pPr>
        <w:rPr>
          <w:rFonts w:cs="Arial"/>
          <w:b/>
          <w:kern w:val="20"/>
          <w:u w:val="single"/>
        </w:rPr>
      </w:pPr>
      <w:r>
        <w:rPr>
          <w:rFonts w:cs="Arial"/>
          <w:b/>
          <w:kern w:val="20"/>
          <w:u w:val="single"/>
        </w:rPr>
        <w:t>Compliance and Enforcement</w:t>
      </w:r>
    </w:p>
    <w:p w14:paraId="6DEDA047" w14:textId="181AA5E2" w:rsidR="002F3F82" w:rsidRDefault="007240B8">
      <w:pPr>
        <w:rPr>
          <w:rFonts w:cs="Arial"/>
          <w:kern w:val="20"/>
        </w:rPr>
      </w:pPr>
      <w:r>
        <w:rPr>
          <w:rFonts w:cs="Arial"/>
          <w:kern w:val="20"/>
        </w:rPr>
        <w:t xml:space="preserve">DHCS assesses </w:t>
      </w:r>
      <w:r w:rsidR="003F0325">
        <w:rPr>
          <w:rFonts w:cs="Arial"/>
          <w:kern w:val="20"/>
        </w:rPr>
        <w:t>compliance rates quarterly</w:t>
      </w:r>
      <w:r>
        <w:rPr>
          <w:rFonts w:cs="Arial"/>
          <w:kern w:val="20"/>
        </w:rPr>
        <w:t xml:space="preserve"> and determines timely access compliance annually</w:t>
      </w:r>
      <w:r w:rsidR="0014641F">
        <w:rPr>
          <w:rFonts w:cs="Arial"/>
          <w:kern w:val="20"/>
        </w:rPr>
        <w:t xml:space="preserve">. All MCPs must submit a response to any </w:t>
      </w:r>
      <w:r w:rsidR="00A56657">
        <w:rPr>
          <w:rFonts w:cs="Arial"/>
          <w:kern w:val="20"/>
        </w:rPr>
        <w:t>concerns</w:t>
      </w:r>
      <w:r w:rsidR="0014641F">
        <w:rPr>
          <w:rFonts w:cs="Arial"/>
          <w:kern w:val="20"/>
        </w:rPr>
        <w:t xml:space="preserve"> identified </w:t>
      </w:r>
      <w:r w:rsidR="00CE1B25">
        <w:rPr>
          <w:rFonts w:cs="Arial"/>
          <w:kern w:val="20"/>
        </w:rPr>
        <w:t>i</w:t>
      </w:r>
      <w:r w:rsidR="0014641F">
        <w:rPr>
          <w:rFonts w:cs="Arial"/>
          <w:kern w:val="20"/>
        </w:rPr>
        <w:t xml:space="preserve">n </w:t>
      </w:r>
      <w:r w:rsidR="00A56657">
        <w:rPr>
          <w:rFonts w:cs="Arial"/>
          <w:kern w:val="20"/>
        </w:rPr>
        <w:t xml:space="preserve">the </w:t>
      </w:r>
      <w:r w:rsidR="0014641F">
        <w:rPr>
          <w:rFonts w:cs="Arial"/>
          <w:kern w:val="20"/>
        </w:rPr>
        <w:t xml:space="preserve">Timely Access Survey results </w:t>
      </w:r>
      <w:r w:rsidR="000076D4">
        <w:rPr>
          <w:rFonts w:cs="Arial"/>
          <w:kern w:val="20"/>
        </w:rPr>
        <w:t xml:space="preserve">on a quarterly basis </w:t>
      </w:r>
      <w:r w:rsidR="0014641F">
        <w:rPr>
          <w:rFonts w:cs="Arial"/>
          <w:kern w:val="20"/>
        </w:rPr>
        <w:t xml:space="preserve">and identify </w:t>
      </w:r>
      <w:r w:rsidR="00A6106E">
        <w:rPr>
          <w:rFonts w:cs="Arial"/>
          <w:kern w:val="20"/>
        </w:rPr>
        <w:t xml:space="preserve">steps to ameliorate </w:t>
      </w:r>
      <w:r w:rsidR="000076D4">
        <w:rPr>
          <w:rFonts w:cs="Arial"/>
          <w:kern w:val="20"/>
        </w:rPr>
        <w:t>the deficiencies</w:t>
      </w:r>
      <w:r w:rsidR="00A6106E">
        <w:rPr>
          <w:rFonts w:cs="Arial"/>
          <w:kern w:val="20"/>
        </w:rPr>
        <w:t xml:space="preserve">. </w:t>
      </w:r>
    </w:p>
    <w:p w14:paraId="13B732AF" w14:textId="77777777" w:rsidR="002F3F82" w:rsidRDefault="002F3F82">
      <w:pPr>
        <w:rPr>
          <w:rFonts w:cs="Arial"/>
          <w:kern w:val="20"/>
        </w:rPr>
      </w:pPr>
    </w:p>
    <w:p w14:paraId="45B7FCB2" w14:textId="515A7D7B" w:rsidR="003D06E7" w:rsidRDefault="0014641F">
      <w:pPr>
        <w:rPr>
          <w:rFonts w:cs="Arial"/>
          <w:kern w:val="20"/>
        </w:rPr>
      </w:pPr>
      <w:r>
        <w:rPr>
          <w:rFonts w:cs="Arial"/>
          <w:kern w:val="20"/>
        </w:rPr>
        <w:t xml:space="preserve">MCPs may use various methods to improve their compliance </w:t>
      </w:r>
      <w:r w:rsidR="001B7D4E">
        <w:rPr>
          <w:rFonts w:cs="Arial"/>
          <w:kern w:val="20"/>
        </w:rPr>
        <w:t xml:space="preserve">with timely access requirements </w:t>
      </w:r>
      <w:r>
        <w:rPr>
          <w:rFonts w:cs="Arial"/>
          <w:kern w:val="20"/>
        </w:rPr>
        <w:t>including, but not limited to, utilizing telehealth when clinically appropriate and offering advanced access scheduling.</w:t>
      </w:r>
      <w:r>
        <w:rPr>
          <w:rStyle w:val="FootnoteReference"/>
          <w:rFonts w:cs="Arial"/>
          <w:kern w:val="20"/>
        </w:rPr>
        <w:footnoteReference w:id="28"/>
      </w:r>
      <w:r>
        <w:rPr>
          <w:rFonts w:cs="Arial"/>
          <w:kern w:val="20"/>
        </w:rPr>
        <w:t xml:space="preserve"> </w:t>
      </w:r>
    </w:p>
    <w:p w14:paraId="3E661A39" w14:textId="77777777" w:rsidR="003D06E7" w:rsidRDefault="003D06E7">
      <w:pPr>
        <w:rPr>
          <w:rFonts w:cs="Arial"/>
          <w:i/>
          <w:kern w:val="20"/>
          <w:u w:val="single"/>
        </w:rPr>
      </w:pPr>
    </w:p>
    <w:p w14:paraId="7671F805" w14:textId="73E08941" w:rsidR="003D06E7" w:rsidRDefault="0014641F">
      <w:pPr>
        <w:rPr>
          <w:rFonts w:cs="Arial"/>
          <w:kern w:val="20"/>
        </w:rPr>
      </w:pPr>
      <w:r>
        <w:rPr>
          <w:rFonts w:cs="Arial"/>
          <w:kern w:val="20"/>
        </w:rPr>
        <w:t xml:space="preserve">DHCS will impose a Timely Access Corrective Action Plan (CAP) on MCPs that fail to meet </w:t>
      </w:r>
      <w:r w:rsidR="000076D4">
        <w:rPr>
          <w:rFonts w:cs="Arial"/>
          <w:kern w:val="20"/>
        </w:rPr>
        <w:t xml:space="preserve">any </w:t>
      </w:r>
      <w:r>
        <w:rPr>
          <w:rFonts w:cs="Arial"/>
          <w:kern w:val="20"/>
        </w:rPr>
        <w:t>of the timely access compliance threshold(s) outlined above for one measurement year</w:t>
      </w:r>
      <w:r w:rsidR="003F4C29">
        <w:rPr>
          <w:rFonts w:cs="Arial"/>
          <w:kern w:val="20"/>
        </w:rPr>
        <w:t xml:space="preserve">. </w:t>
      </w:r>
      <w:r>
        <w:rPr>
          <w:rFonts w:cs="Arial"/>
          <w:kern w:val="20"/>
        </w:rPr>
        <w:t xml:space="preserve">MCPs must submit a detailed </w:t>
      </w:r>
      <w:r w:rsidR="000076D4">
        <w:rPr>
          <w:rFonts w:cs="Arial"/>
          <w:kern w:val="20"/>
        </w:rPr>
        <w:t>CAP</w:t>
      </w:r>
      <w:r>
        <w:rPr>
          <w:rFonts w:cs="Arial"/>
          <w:kern w:val="20"/>
        </w:rPr>
        <w:t xml:space="preserve"> setting forth all steps the MCP will take to come into compliance with the non-compliant timely access threshold(s) identified in the CAP. </w:t>
      </w:r>
      <w:r w:rsidR="00714585">
        <w:rPr>
          <w:rFonts w:cs="Arial"/>
          <w:kern w:val="20"/>
        </w:rPr>
        <w:t xml:space="preserve">DHCS reserves the </w:t>
      </w:r>
      <w:r w:rsidR="008D3FA9">
        <w:rPr>
          <w:rFonts w:cs="Arial"/>
          <w:kern w:val="20"/>
        </w:rPr>
        <w:t xml:space="preserve">right </w:t>
      </w:r>
      <w:r w:rsidR="00714585">
        <w:rPr>
          <w:rFonts w:cs="Arial"/>
          <w:kern w:val="20"/>
        </w:rPr>
        <w:t xml:space="preserve">to </w:t>
      </w:r>
      <w:r w:rsidR="008D3FA9">
        <w:rPr>
          <w:rFonts w:cs="Arial"/>
          <w:kern w:val="20"/>
        </w:rPr>
        <w:t xml:space="preserve">impose </w:t>
      </w:r>
      <w:r w:rsidR="00714585">
        <w:rPr>
          <w:rFonts w:cs="Arial"/>
          <w:kern w:val="20"/>
        </w:rPr>
        <w:t xml:space="preserve">sanctions </w:t>
      </w:r>
      <w:r>
        <w:rPr>
          <w:rFonts w:cs="Arial"/>
          <w:kern w:val="20"/>
        </w:rPr>
        <w:t xml:space="preserve">pursuant to </w:t>
      </w:r>
      <w:r w:rsidR="00FE05FA">
        <w:rPr>
          <w:rFonts w:cs="Arial"/>
          <w:kern w:val="20"/>
        </w:rPr>
        <w:t>WIC</w:t>
      </w:r>
      <w:r w:rsidR="00BA4234">
        <w:rPr>
          <w:rFonts w:cs="Arial"/>
          <w:kern w:val="20"/>
        </w:rPr>
        <w:t xml:space="preserve"> </w:t>
      </w:r>
      <w:r w:rsidR="000972C1">
        <w:rPr>
          <w:rFonts w:cs="Arial"/>
          <w:kern w:val="20"/>
        </w:rPr>
        <w:t>s</w:t>
      </w:r>
      <w:r>
        <w:rPr>
          <w:rFonts w:cs="Arial"/>
          <w:kern w:val="20"/>
        </w:rPr>
        <w:t>ection 14197.7</w:t>
      </w:r>
      <w:r w:rsidR="00E02CFD">
        <w:rPr>
          <w:rFonts w:cs="Arial"/>
          <w:kern w:val="20"/>
        </w:rPr>
        <w:t xml:space="preserve"> and APL </w:t>
      </w:r>
      <w:r w:rsidR="00881809">
        <w:rPr>
          <w:rFonts w:cs="Arial"/>
          <w:kern w:val="20"/>
        </w:rPr>
        <w:t>22-XXX</w:t>
      </w:r>
      <w:r>
        <w:rPr>
          <w:rFonts w:cs="Arial"/>
          <w:kern w:val="20"/>
        </w:rPr>
        <w:t xml:space="preserve">. </w:t>
      </w:r>
    </w:p>
    <w:p w14:paraId="0D44BDF2" w14:textId="77777777" w:rsidR="003D06E7" w:rsidRDefault="003D06E7">
      <w:pPr>
        <w:rPr>
          <w:rFonts w:cs="Arial"/>
          <w:kern w:val="20"/>
        </w:rPr>
      </w:pPr>
    </w:p>
    <w:p w14:paraId="7163C7B8" w14:textId="77777777" w:rsidR="003D06E7" w:rsidRDefault="0014641F">
      <w:pPr>
        <w:rPr>
          <w:rFonts w:cs="Arial"/>
        </w:rPr>
      </w:pPr>
      <w:r>
        <w:rPr>
          <w:rFonts w:cs="Arial"/>
        </w:rPr>
        <w:t>MCPs under a Timely Access CAP must comply with the following mandates:</w:t>
      </w:r>
    </w:p>
    <w:p w14:paraId="1BF1BF07" w14:textId="77777777" w:rsidR="003D06E7" w:rsidRDefault="003D06E7">
      <w:pPr>
        <w:rPr>
          <w:rFonts w:cs="Arial"/>
        </w:rPr>
      </w:pPr>
    </w:p>
    <w:p w14:paraId="243A39A6" w14:textId="77777777" w:rsidR="003D06E7" w:rsidRDefault="0014641F">
      <w:pPr>
        <w:pStyle w:val="ListParagraph"/>
        <w:numPr>
          <w:ilvl w:val="0"/>
          <w:numId w:val="14"/>
        </w:numPr>
        <w:rPr>
          <w:rFonts w:ascii="Arial" w:hAnsi="Arial" w:cs="Arial"/>
        </w:rPr>
      </w:pPr>
      <w:r>
        <w:rPr>
          <w:rFonts w:ascii="Arial" w:hAnsi="Arial" w:cs="Arial"/>
        </w:rPr>
        <w:t>Provide an initial CAP response to DHCS no later than 30 days after the issuance of the CAP letter;</w:t>
      </w:r>
    </w:p>
    <w:p w14:paraId="68C2616E" w14:textId="577A64AC" w:rsidR="003D06E7" w:rsidRDefault="0014641F">
      <w:pPr>
        <w:pStyle w:val="ListParagraph"/>
        <w:numPr>
          <w:ilvl w:val="0"/>
          <w:numId w:val="14"/>
        </w:numPr>
        <w:rPr>
          <w:rFonts w:ascii="Arial" w:hAnsi="Arial" w:cs="Arial"/>
        </w:rPr>
      </w:pPr>
      <w:r>
        <w:rPr>
          <w:rFonts w:ascii="Arial" w:hAnsi="Arial" w:cs="Arial"/>
        </w:rPr>
        <w:lastRenderedPageBreak/>
        <w:t>Provide DHCS with a status update after DHCS sends MCPs the first quarter results following CAP implementation that demonstrates action steps the MCP is undertaking to correct the deficiency(</w:t>
      </w:r>
      <w:proofErr w:type="spellStart"/>
      <w:r>
        <w:rPr>
          <w:rFonts w:ascii="Arial" w:hAnsi="Arial" w:cs="Arial"/>
        </w:rPr>
        <w:t>ies</w:t>
      </w:r>
      <w:proofErr w:type="spellEnd"/>
      <w:r>
        <w:rPr>
          <w:rFonts w:ascii="Arial" w:hAnsi="Arial" w:cs="Arial"/>
        </w:rPr>
        <w:t>) and improve compliance;</w:t>
      </w:r>
    </w:p>
    <w:p w14:paraId="0420A7C9" w14:textId="3AFB91AE" w:rsidR="003D06E7" w:rsidRDefault="0014641F">
      <w:pPr>
        <w:pStyle w:val="ListParagraph"/>
        <w:numPr>
          <w:ilvl w:val="0"/>
          <w:numId w:val="14"/>
        </w:numPr>
        <w:rPr>
          <w:rFonts w:ascii="Arial" w:hAnsi="Arial" w:cs="Arial"/>
        </w:rPr>
      </w:pPr>
      <w:r>
        <w:rPr>
          <w:rFonts w:ascii="Arial" w:hAnsi="Arial" w:cs="Arial"/>
        </w:rPr>
        <w:t>Authorize OON access to medically necessary providers within timely access standards, regardless of associated transportation or provider costs until the CAP is completed by the MCP and closed by DHCS</w:t>
      </w:r>
      <w:r w:rsidR="000A6F66">
        <w:rPr>
          <w:rFonts w:ascii="Arial" w:hAnsi="Arial" w:cs="Arial"/>
        </w:rPr>
        <w:t>; and</w:t>
      </w:r>
    </w:p>
    <w:p w14:paraId="69E9F1F3" w14:textId="6010A237" w:rsidR="008D3FA9" w:rsidRDefault="008D3FA9">
      <w:pPr>
        <w:pStyle w:val="ListParagraph"/>
        <w:numPr>
          <w:ilvl w:val="0"/>
          <w:numId w:val="14"/>
        </w:numPr>
        <w:rPr>
          <w:rFonts w:ascii="Arial" w:hAnsi="Arial" w:cs="Arial"/>
        </w:rPr>
      </w:pPr>
      <w:r>
        <w:rPr>
          <w:rFonts w:ascii="Arial" w:hAnsi="Arial" w:cs="Arial"/>
        </w:rPr>
        <w:t>Identify the root cause of the MCP’s inability to meet the compliance requirements and provide remed</w:t>
      </w:r>
      <w:r w:rsidR="000A6F66">
        <w:rPr>
          <w:rFonts w:ascii="Arial" w:hAnsi="Arial" w:cs="Arial"/>
        </w:rPr>
        <w:t>ial</w:t>
      </w:r>
      <w:r>
        <w:rPr>
          <w:rFonts w:ascii="Arial" w:hAnsi="Arial" w:cs="Arial"/>
        </w:rPr>
        <w:t xml:space="preserve"> actions.</w:t>
      </w:r>
    </w:p>
    <w:p w14:paraId="73D16FEE" w14:textId="77777777" w:rsidR="003D06E7" w:rsidRDefault="003D06E7">
      <w:pPr>
        <w:rPr>
          <w:rFonts w:cs="Arial"/>
        </w:rPr>
      </w:pPr>
    </w:p>
    <w:p w14:paraId="44BFFA37" w14:textId="77777777" w:rsidR="003D06E7" w:rsidRDefault="0014641F">
      <w:pPr>
        <w:rPr>
          <w:rFonts w:cs="Arial"/>
        </w:rPr>
      </w:pPr>
      <w:r>
        <w:rPr>
          <w:rFonts w:cs="Arial"/>
        </w:rPr>
        <w:t xml:space="preserve">MCPs that show no improvement by the end of the second quarter following CAP implementation must comply with the following additional mandates: </w:t>
      </w:r>
    </w:p>
    <w:p w14:paraId="13EEFA75" w14:textId="77777777" w:rsidR="003D06E7" w:rsidRDefault="003D06E7">
      <w:pPr>
        <w:rPr>
          <w:rFonts w:cs="Arial"/>
        </w:rPr>
      </w:pPr>
    </w:p>
    <w:p w14:paraId="520B1240" w14:textId="77777777" w:rsidR="003D06E7" w:rsidRDefault="0014641F">
      <w:pPr>
        <w:pStyle w:val="ListParagraph"/>
        <w:numPr>
          <w:ilvl w:val="0"/>
          <w:numId w:val="15"/>
        </w:numPr>
        <w:rPr>
          <w:rFonts w:ascii="Arial" w:hAnsi="Arial" w:cs="Arial"/>
        </w:rPr>
      </w:pPr>
      <w:r>
        <w:rPr>
          <w:rFonts w:ascii="Arial" w:hAnsi="Arial" w:cs="Arial"/>
        </w:rPr>
        <w:t>Conduct internal monitoring of providers on a more frequent basis to ensure continual compliance;</w:t>
      </w:r>
    </w:p>
    <w:p w14:paraId="0DC8007D" w14:textId="77777777" w:rsidR="003D06E7" w:rsidRDefault="0014641F">
      <w:pPr>
        <w:pStyle w:val="ListParagraph"/>
        <w:numPr>
          <w:ilvl w:val="0"/>
          <w:numId w:val="15"/>
        </w:numPr>
        <w:rPr>
          <w:rFonts w:ascii="Arial" w:hAnsi="Arial" w:cs="Arial"/>
        </w:rPr>
      </w:pPr>
      <w:r>
        <w:rPr>
          <w:rFonts w:ascii="Arial" w:hAnsi="Arial" w:cs="Arial"/>
        </w:rPr>
        <w:t>Implement internal verification studies on providers and report the results to DHCS;</w:t>
      </w:r>
    </w:p>
    <w:p w14:paraId="4CC769B7" w14:textId="77777777" w:rsidR="003D06E7" w:rsidRDefault="0014641F">
      <w:pPr>
        <w:pStyle w:val="ListParagraph"/>
        <w:numPr>
          <w:ilvl w:val="0"/>
          <w:numId w:val="15"/>
        </w:numPr>
        <w:rPr>
          <w:rFonts w:ascii="Arial" w:hAnsi="Arial" w:cs="Arial"/>
        </w:rPr>
      </w:pPr>
      <w:r>
        <w:rPr>
          <w:rFonts w:ascii="Arial" w:hAnsi="Arial" w:cs="Arial"/>
        </w:rPr>
        <w:t>Impose CAPs on providers, as necessary; and</w:t>
      </w:r>
    </w:p>
    <w:p w14:paraId="59491E8F" w14:textId="0E7EC147" w:rsidR="003D06E7" w:rsidRDefault="0014641F" w:rsidP="000A6F66">
      <w:pPr>
        <w:pStyle w:val="ListParagraph"/>
        <w:numPr>
          <w:ilvl w:val="0"/>
          <w:numId w:val="15"/>
        </w:numPr>
      </w:pPr>
      <w:r>
        <w:rPr>
          <w:rFonts w:ascii="Arial" w:hAnsi="Arial" w:cs="Arial"/>
        </w:rPr>
        <w:t xml:space="preserve">Provide documentation to DHCS regarding any follow-up action taken for all non-compliant providers. </w:t>
      </w:r>
    </w:p>
    <w:p w14:paraId="1882CB9F" w14:textId="77777777" w:rsidR="003D06E7" w:rsidRDefault="003D06E7">
      <w:pPr>
        <w:rPr>
          <w:rFonts w:cs="Arial"/>
        </w:rPr>
      </w:pPr>
    </w:p>
    <w:p w14:paraId="6CCA49FB" w14:textId="0E6D828C" w:rsidR="003D06E7" w:rsidRDefault="0014641F">
      <w:pPr>
        <w:rPr>
          <w:rFonts w:cs="Arial"/>
        </w:rPr>
      </w:pPr>
      <w:r>
        <w:rPr>
          <w:rFonts w:cs="Arial"/>
        </w:rPr>
        <w:t>MCP</w:t>
      </w:r>
      <w:r w:rsidR="00E2047C">
        <w:rPr>
          <w:rFonts w:cs="Arial"/>
        </w:rPr>
        <w:t>s</w:t>
      </w:r>
      <w:r>
        <w:rPr>
          <w:rFonts w:cs="Arial"/>
        </w:rPr>
        <w:t xml:space="preserve"> must </w:t>
      </w:r>
      <w:r w:rsidR="00E2047C">
        <w:rPr>
          <w:rFonts w:cs="Arial"/>
        </w:rPr>
        <w:t>update its Policies and Procedures</w:t>
      </w:r>
      <w:r>
        <w:rPr>
          <w:rFonts w:cs="Arial"/>
        </w:rPr>
        <w:t xml:space="preserve"> </w:t>
      </w:r>
      <w:r w:rsidR="00E2047C">
        <w:rPr>
          <w:rFonts w:cs="Arial"/>
        </w:rPr>
        <w:t>(</w:t>
      </w:r>
      <w:r>
        <w:rPr>
          <w:rFonts w:cs="Arial"/>
        </w:rPr>
        <w:t>P&amp;Ps</w:t>
      </w:r>
      <w:r w:rsidR="00E2047C">
        <w:rPr>
          <w:rFonts w:cs="Arial"/>
        </w:rPr>
        <w:t>)</w:t>
      </w:r>
      <w:r>
        <w:rPr>
          <w:rFonts w:cs="Arial"/>
        </w:rPr>
        <w:t xml:space="preserve"> </w:t>
      </w:r>
      <w:r w:rsidR="00E2047C">
        <w:rPr>
          <w:rFonts w:cs="Arial"/>
        </w:rPr>
        <w:t xml:space="preserve">to include the requirements of this APL </w:t>
      </w:r>
      <w:r>
        <w:rPr>
          <w:rFonts w:cs="Arial"/>
        </w:rPr>
        <w:t>to its Managed Care Operations Division (MCOD) contract manager within 90 days of the release of this APL. If an MCP determines that no changes to its P&amp;Ps are necessary, the MCP must submit an e-mail confirmation to its MCOD contract manager within 90 days of the release of this APL, stating that the MCP’s P&amp;Ps have been reviewed and no changes are necessary. The e-mail confirmation must include the title of this APL as well as the applicable APL release date in the subject line.</w:t>
      </w:r>
    </w:p>
    <w:p w14:paraId="27851D5E" w14:textId="77777777" w:rsidR="003D06E7" w:rsidRDefault="003D06E7">
      <w:pPr>
        <w:rPr>
          <w:rFonts w:cs="Arial"/>
        </w:rPr>
      </w:pPr>
    </w:p>
    <w:p w14:paraId="4789269B" w14:textId="23AE5F6E" w:rsidR="008D3FA9" w:rsidRDefault="0014641F" w:rsidP="008D3FA9">
      <w:pPr>
        <w:rPr>
          <w:rFonts w:cs="Arial"/>
        </w:rPr>
      </w:pPr>
      <w:r>
        <w:rPr>
          <w:rFonts w:cs="Arial"/>
        </w:rPr>
        <w:t>MCPs are responsible for ensuring their subcontractors and network providers comply with all applicable state and federal laws and regulations, contract requirements, and other DHCS guidance, including APLs and Policy Letters.</w:t>
      </w:r>
      <w:r>
        <w:rPr>
          <w:rStyle w:val="FootnoteReference"/>
          <w:rFonts w:cs="Arial"/>
        </w:rPr>
        <w:footnoteReference w:id="29"/>
      </w:r>
      <w:r>
        <w:rPr>
          <w:rFonts w:cs="Arial"/>
        </w:rPr>
        <w:t xml:space="preserve"> These requirements must be communicated by each MCP to all its subcontractors and network providers.</w:t>
      </w:r>
      <w:r w:rsidR="008D3FA9">
        <w:rPr>
          <w:rFonts w:cs="Arial"/>
        </w:rPr>
        <w:t xml:space="preserve"> Additionally, MCPs are required to ensure that their </w:t>
      </w:r>
      <w:r w:rsidR="00E2047C">
        <w:rPr>
          <w:rFonts w:cs="Arial"/>
        </w:rPr>
        <w:t xml:space="preserve">subcontractors and </w:t>
      </w:r>
      <w:r w:rsidR="008D3FA9">
        <w:rPr>
          <w:rFonts w:cs="Arial"/>
        </w:rPr>
        <w:t>network providers are informed of and adhere to the CAP mandates and comply with all OON access authorization and transportation requirements.</w:t>
      </w:r>
    </w:p>
    <w:p w14:paraId="43A4F96B" w14:textId="674C4615" w:rsidR="0027268A" w:rsidRDefault="0027268A">
      <w:pPr>
        <w:autoSpaceDE w:val="0"/>
        <w:autoSpaceDN w:val="0"/>
        <w:adjustRightInd w:val="0"/>
        <w:spacing w:line="276" w:lineRule="atLeast"/>
        <w:rPr>
          <w:rFonts w:cs="Arial"/>
          <w:kern w:val="20"/>
          <w:szCs w:val="23"/>
        </w:rPr>
      </w:pPr>
    </w:p>
    <w:p w14:paraId="65DAEA66" w14:textId="7398B001" w:rsidR="003D06E7" w:rsidRDefault="0014641F">
      <w:pPr>
        <w:autoSpaceDE w:val="0"/>
        <w:autoSpaceDN w:val="0"/>
        <w:adjustRightInd w:val="0"/>
        <w:spacing w:line="276" w:lineRule="atLeast"/>
        <w:rPr>
          <w:rFonts w:cs="Arial"/>
          <w:kern w:val="20"/>
          <w:szCs w:val="23"/>
        </w:rPr>
      </w:pPr>
      <w:r>
        <w:rPr>
          <w:rFonts w:cs="Arial"/>
          <w:kern w:val="20"/>
          <w:szCs w:val="23"/>
        </w:rPr>
        <w:t>If you have any questions regarding this APL, please contact your Managed Care Operations Division Contract Manager.</w:t>
      </w:r>
    </w:p>
    <w:p w14:paraId="1A5F2F63" w14:textId="77777777" w:rsidR="003D06E7" w:rsidRDefault="003D06E7">
      <w:pPr>
        <w:autoSpaceDE w:val="0"/>
        <w:autoSpaceDN w:val="0"/>
        <w:adjustRightInd w:val="0"/>
        <w:spacing w:line="276" w:lineRule="atLeast"/>
        <w:rPr>
          <w:rFonts w:cs="Arial"/>
          <w:kern w:val="20"/>
          <w:szCs w:val="23"/>
          <w:u w:val="single"/>
        </w:rPr>
      </w:pPr>
    </w:p>
    <w:p w14:paraId="50A9A4C2" w14:textId="77777777" w:rsidR="003D06E7" w:rsidRDefault="0014641F">
      <w:pPr>
        <w:autoSpaceDE w:val="0"/>
        <w:autoSpaceDN w:val="0"/>
        <w:adjustRightInd w:val="0"/>
        <w:spacing w:line="276" w:lineRule="atLeast"/>
        <w:rPr>
          <w:rFonts w:cs="Arial"/>
          <w:kern w:val="20"/>
          <w:szCs w:val="23"/>
        </w:rPr>
      </w:pPr>
      <w:r>
        <w:rPr>
          <w:rFonts w:cs="Arial"/>
          <w:kern w:val="20"/>
          <w:szCs w:val="23"/>
        </w:rPr>
        <w:t>Sincerely,</w:t>
      </w:r>
    </w:p>
    <w:p w14:paraId="17227E5F" w14:textId="77777777" w:rsidR="003D06E7" w:rsidRDefault="003D06E7">
      <w:pPr>
        <w:autoSpaceDE w:val="0"/>
        <w:autoSpaceDN w:val="0"/>
        <w:adjustRightInd w:val="0"/>
        <w:spacing w:line="276" w:lineRule="atLeast"/>
        <w:rPr>
          <w:rFonts w:cs="Arial"/>
          <w:kern w:val="20"/>
          <w:szCs w:val="23"/>
        </w:rPr>
      </w:pPr>
    </w:p>
    <w:p w14:paraId="2156B876" w14:textId="77777777" w:rsidR="003D06E7" w:rsidRDefault="003D06E7">
      <w:pPr>
        <w:autoSpaceDE w:val="0"/>
        <w:autoSpaceDN w:val="0"/>
        <w:adjustRightInd w:val="0"/>
        <w:spacing w:after="280" w:line="276" w:lineRule="atLeast"/>
        <w:contextualSpacing/>
        <w:rPr>
          <w:rFonts w:cs="Arial"/>
          <w:kern w:val="20"/>
          <w:szCs w:val="23"/>
        </w:rPr>
      </w:pPr>
    </w:p>
    <w:p w14:paraId="16EF5851" w14:textId="77777777" w:rsidR="003D06E7" w:rsidRDefault="003D06E7">
      <w:pPr>
        <w:autoSpaceDE w:val="0"/>
        <w:autoSpaceDN w:val="0"/>
        <w:adjustRightInd w:val="0"/>
        <w:spacing w:after="280" w:line="276" w:lineRule="atLeast"/>
        <w:contextualSpacing/>
        <w:rPr>
          <w:rFonts w:cs="Arial"/>
          <w:kern w:val="20"/>
          <w:szCs w:val="23"/>
        </w:rPr>
      </w:pPr>
    </w:p>
    <w:p w14:paraId="771BDFE8" w14:textId="77777777" w:rsidR="003D06E7" w:rsidRDefault="003D06E7">
      <w:pPr>
        <w:autoSpaceDE w:val="0"/>
        <w:autoSpaceDN w:val="0"/>
        <w:adjustRightInd w:val="0"/>
        <w:spacing w:after="280" w:line="276" w:lineRule="atLeast"/>
        <w:contextualSpacing/>
        <w:rPr>
          <w:rFonts w:cs="Arial"/>
          <w:kern w:val="20"/>
          <w:szCs w:val="23"/>
        </w:rPr>
      </w:pPr>
    </w:p>
    <w:p w14:paraId="0369C83D" w14:textId="77777777" w:rsidR="003D06E7" w:rsidRDefault="003D06E7">
      <w:pPr>
        <w:autoSpaceDE w:val="0"/>
        <w:autoSpaceDN w:val="0"/>
        <w:adjustRightInd w:val="0"/>
        <w:spacing w:after="280" w:line="276" w:lineRule="atLeast"/>
        <w:contextualSpacing/>
        <w:rPr>
          <w:rFonts w:cs="Arial"/>
          <w:kern w:val="20"/>
          <w:szCs w:val="23"/>
        </w:rPr>
      </w:pPr>
    </w:p>
    <w:p w14:paraId="0C337081" w14:textId="77777777" w:rsidR="003D06E7" w:rsidRDefault="0014641F">
      <w:pPr>
        <w:autoSpaceDE w:val="0"/>
        <w:autoSpaceDN w:val="0"/>
        <w:adjustRightInd w:val="0"/>
        <w:spacing w:after="280" w:line="276" w:lineRule="atLeast"/>
        <w:contextualSpacing/>
        <w:rPr>
          <w:rFonts w:cs="Arial"/>
          <w:kern w:val="20"/>
          <w:szCs w:val="23"/>
        </w:rPr>
      </w:pPr>
      <w:r>
        <w:rPr>
          <w:rFonts w:cs="Arial"/>
          <w:kern w:val="20"/>
          <w:szCs w:val="23"/>
        </w:rPr>
        <w:t xml:space="preserve">Dana Durham, Chief  </w:t>
      </w:r>
    </w:p>
    <w:p w14:paraId="558C8CF0" w14:textId="7DA96240" w:rsidR="003D06E7" w:rsidRDefault="0014641F" w:rsidP="005E7621">
      <w:pPr>
        <w:autoSpaceDE w:val="0"/>
        <w:autoSpaceDN w:val="0"/>
        <w:adjustRightInd w:val="0"/>
        <w:spacing w:after="280" w:line="276" w:lineRule="atLeast"/>
        <w:contextualSpacing/>
        <w:rPr>
          <w:rFonts w:cs="Arial"/>
          <w:kern w:val="20"/>
        </w:rPr>
      </w:pPr>
      <w:r>
        <w:rPr>
          <w:rFonts w:cs="Arial"/>
          <w:kern w:val="20"/>
          <w:szCs w:val="23"/>
        </w:rPr>
        <w:t>Managed Care Quality and Monitoring Division</w:t>
      </w:r>
    </w:p>
    <w:p w14:paraId="0C07C8D4" w14:textId="77777777" w:rsidR="003D06E7" w:rsidRDefault="003D06E7">
      <w:pPr>
        <w:tabs>
          <w:tab w:val="left" w:pos="5400"/>
        </w:tabs>
        <w:rPr>
          <w:rFonts w:cs="Arial"/>
          <w:kern w:val="20"/>
        </w:rPr>
      </w:pPr>
    </w:p>
    <w:p w14:paraId="21B0273D" w14:textId="77777777" w:rsidR="003D06E7" w:rsidRDefault="003D06E7">
      <w:pPr>
        <w:tabs>
          <w:tab w:val="left" w:pos="5400"/>
        </w:tabs>
        <w:rPr>
          <w:rFonts w:cs="Arial"/>
          <w:kern w:val="20"/>
        </w:rPr>
      </w:pPr>
    </w:p>
    <w:p w14:paraId="7DDE07CD" w14:textId="77777777" w:rsidR="003D06E7" w:rsidRDefault="003D06E7">
      <w:pPr>
        <w:tabs>
          <w:tab w:val="left" w:pos="5400"/>
        </w:tabs>
        <w:rPr>
          <w:rFonts w:cs="Arial"/>
          <w:kern w:val="20"/>
        </w:rPr>
      </w:pPr>
    </w:p>
    <w:p w14:paraId="49DE4FF7" w14:textId="77777777" w:rsidR="003D06E7" w:rsidRDefault="003D06E7">
      <w:pPr>
        <w:autoSpaceDE w:val="0"/>
        <w:autoSpaceDN w:val="0"/>
        <w:adjustRightInd w:val="0"/>
        <w:spacing w:after="280" w:line="276" w:lineRule="atLeast"/>
        <w:contextualSpacing/>
        <w:rPr>
          <w:rFonts w:cs="Arial"/>
          <w:kern w:val="20"/>
          <w:szCs w:val="23"/>
        </w:rPr>
      </w:pPr>
    </w:p>
    <w:sectPr w:rsidR="003D06E7">
      <w:headerReference w:type="default" r:id="rId16"/>
      <w:footerReference w:type="default" r:id="rId17"/>
      <w:type w:val="continuous"/>
      <w:pgSz w:w="12240" w:h="15840" w:code="1"/>
      <w:pgMar w:top="1440" w:right="1440" w:bottom="1440" w:left="1440" w:header="144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C658" w14:textId="77777777" w:rsidR="00343EC5" w:rsidRDefault="00343EC5">
      <w:r>
        <w:separator/>
      </w:r>
    </w:p>
  </w:endnote>
  <w:endnote w:type="continuationSeparator" w:id="0">
    <w:p w14:paraId="1093D55A" w14:textId="77777777" w:rsidR="00343EC5" w:rsidRDefault="0034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subsetted="1" w:fontKey="{90452F33-6D39-4237-A0AB-392C9561627F}"/>
    <w:embedBold r:id="rId2" w:subsetted="1" w:fontKey="{7CD9754F-0970-4855-BB05-8F8EB41001BE}"/>
    <w:embedItalic r:id="rId3" w:subsetted="1" w:fontKey="{DF8F00F1-8167-41EE-96DF-AF0F78C25644}"/>
    <w:embedBoldItalic r:id="rId4" w:subsetted="1" w:fontKey="{F502BB99-1E5F-4810-BD16-5970EBE3E811}"/>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474" w14:textId="77777777" w:rsidR="00343EC5" w:rsidRDefault="00343EC5">
    <w:pPr>
      <w:pStyle w:val="Footer"/>
      <w:pBdr>
        <w:bottom w:val="double" w:sz="6" w:space="1" w:color="auto"/>
      </w:pBdr>
      <w:tabs>
        <w:tab w:val="clear" w:pos="4320"/>
        <w:tab w:val="clear" w:pos="8640"/>
      </w:tabs>
      <w:rPr>
        <w:rFonts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4E83" w14:textId="77777777" w:rsidR="00343EC5" w:rsidRDefault="00343EC5">
    <w:pPr>
      <w:pBdr>
        <w:top w:val="double" w:sz="4" w:space="1" w:color="auto"/>
      </w:pBdr>
      <w:spacing w:before="240"/>
      <w:jc w:val="center"/>
      <w:rPr>
        <w:rFonts w:cs="Arial"/>
        <w:sz w:val="16"/>
        <w:szCs w:val="16"/>
      </w:rPr>
    </w:pPr>
    <w:r>
      <w:rPr>
        <w:rFonts w:cs="Arial"/>
        <w:sz w:val="16"/>
        <w:szCs w:val="16"/>
      </w:rPr>
      <w:t>Managed Care Quality and Monitoring Division</w:t>
    </w:r>
  </w:p>
  <w:p w14:paraId="6A97B3D4" w14:textId="77777777" w:rsidR="00343EC5" w:rsidRDefault="00343EC5">
    <w:pPr>
      <w:jc w:val="center"/>
      <w:rPr>
        <w:rFonts w:cs="Arial"/>
        <w:sz w:val="16"/>
        <w:szCs w:val="16"/>
      </w:rPr>
    </w:pPr>
    <w:bookmarkStart w:id="0" w:name="Text3"/>
    <w:r>
      <w:rPr>
        <w:rFonts w:cs="Arial"/>
        <w:sz w:val="16"/>
        <w:szCs w:val="16"/>
      </w:rPr>
      <w:t>1501 Capitol Avenue, P.O. Box 997413, MS 4410</w:t>
    </w:r>
  </w:p>
  <w:p w14:paraId="58DACDB7" w14:textId="77777777" w:rsidR="00343EC5" w:rsidRDefault="00343EC5">
    <w:pPr>
      <w:jc w:val="center"/>
      <w:rPr>
        <w:rFonts w:cs="Arial"/>
        <w:sz w:val="16"/>
        <w:szCs w:val="16"/>
      </w:rPr>
    </w:pPr>
    <w:r>
      <w:rPr>
        <w:rFonts w:cs="Arial"/>
        <w:sz w:val="16"/>
        <w:szCs w:val="16"/>
      </w:rPr>
      <w:t>Sacramento, CA 95899-7413</w:t>
    </w:r>
  </w:p>
  <w:p w14:paraId="5D12CF6D" w14:textId="77777777" w:rsidR="00343EC5" w:rsidRDefault="00343EC5">
    <w:pPr>
      <w:jc w:val="center"/>
      <w:rPr>
        <w:rFonts w:cs="Arial"/>
        <w:sz w:val="16"/>
        <w:szCs w:val="16"/>
      </w:rPr>
    </w:pPr>
    <w:r>
      <w:rPr>
        <w:rFonts w:cs="Arial"/>
        <w:sz w:val="16"/>
        <w:szCs w:val="16"/>
      </w:rPr>
      <w:t>Phone (916) 449-5000   Fax (916) 449-5005</w:t>
    </w:r>
  </w:p>
  <w:p w14:paraId="35AC82A8" w14:textId="77777777" w:rsidR="00343EC5" w:rsidRDefault="00343EC5">
    <w:pPr>
      <w:jc w:val="center"/>
      <w:rPr>
        <w:rFonts w:cs="Arial"/>
        <w:sz w:val="16"/>
        <w:szCs w:val="16"/>
      </w:rPr>
    </w:pPr>
    <w:r>
      <w:rPr>
        <w:rFonts w:cs="Arial"/>
        <w:sz w:val="16"/>
        <w:szCs w:val="16"/>
      </w:rPr>
      <w:t>www.dhcs.ca.gov</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E405" w14:textId="77777777" w:rsidR="00343EC5" w:rsidRDefault="00343EC5">
    <w:pPr>
      <w:pStyle w:val="Foo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D6A3" w14:textId="77777777" w:rsidR="00343EC5" w:rsidRDefault="00343EC5">
      <w:r>
        <w:separator/>
      </w:r>
    </w:p>
  </w:footnote>
  <w:footnote w:type="continuationSeparator" w:id="0">
    <w:p w14:paraId="57490C75" w14:textId="77777777" w:rsidR="00343EC5" w:rsidRDefault="00343EC5">
      <w:r>
        <w:continuationSeparator/>
      </w:r>
    </w:p>
  </w:footnote>
  <w:footnote w:id="1">
    <w:p w14:paraId="1AEF0184" w14:textId="30967EC7" w:rsidR="00343EC5" w:rsidRDefault="00343EC5">
      <w:pPr>
        <w:pStyle w:val="FootnoteText"/>
      </w:pPr>
      <w:r>
        <w:rPr>
          <w:rStyle w:val="FootnoteReference"/>
        </w:rPr>
        <w:footnoteRef/>
      </w:r>
      <w:r>
        <w:t xml:space="preserve"> For purposes of this APL, timely access standards include member appointment wait times and telephone wait</w:t>
      </w:r>
      <w:r w:rsidR="008E2EB6">
        <w:t xml:space="preserve"> (or hold)</w:t>
      </w:r>
      <w:r>
        <w:t xml:space="preserve"> times.</w:t>
      </w:r>
    </w:p>
  </w:footnote>
  <w:footnote w:id="2">
    <w:p w14:paraId="087A2309" w14:textId="77777777" w:rsidR="00343EC5" w:rsidRDefault="00343EC5">
      <w:pPr>
        <w:pStyle w:val="FootnoteText"/>
        <w:rPr>
          <w:rFonts w:cs="Arial"/>
        </w:rPr>
      </w:pPr>
      <w:r>
        <w:rPr>
          <w:rStyle w:val="FootnoteReference"/>
          <w:rFonts w:cs="Arial"/>
        </w:rPr>
        <w:footnoteRef/>
      </w:r>
      <w:r>
        <w:rPr>
          <w:rFonts w:cs="Arial"/>
        </w:rPr>
        <w:t xml:space="preserve"> For the Timely Access Survey, a measurement year is a calendar year. </w:t>
      </w:r>
    </w:p>
  </w:footnote>
  <w:footnote w:id="3">
    <w:p w14:paraId="509ECB8A" w14:textId="1EC2272C" w:rsidR="00343EC5" w:rsidRDefault="00343EC5">
      <w:pPr>
        <w:pStyle w:val="FootnoteText"/>
      </w:pPr>
      <w:r>
        <w:rPr>
          <w:rStyle w:val="FootnoteReference"/>
        </w:rPr>
        <w:footnoteRef/>
      </w:r>
      <w:r>
        <w:t xml:space="preserve"> HSC sections 1340-1399.818. State law is searchable at: </w:t>
      </w:r>
      <w:hyperlink r:id="rId1" w:history="1">
        <w:r w:rsidRPr="00E556EC">
          <w:rPr>
            <w:rStyle w:val="Hyperlink"/>
          </w:rPr>
          <w:t>https://leginfo.legislature.ca.gov/faces/home.xhtml</w:t>
        </w:r>
      </w:hyperlink>
      <w:r w:rsidR="00EF3AD3">
        <w:rPr>
          <w:rStyle w:val="Hyperlink"/>
        </w:rPr>
        <w:t>.</w:t>
      </w:r>
    </w:p>
  </w:footnote>
  <w:footnote w:id="4">
    <w:p w14:paraId="76F33A9B" w14:textId="19657530" w:rsidR="00343EC5" w:rsidRDefault="00343EC5">
      <w:pPr>
        <w:pStyle w:val="FootnoteText"/>
      </w:pPr>
      <w:r>
        <w:rPr>
          <w:rStyle w:val="FootnoteReference"/>
        </w:rPr>
        <w:footnoteRef/>
      </w:r>
      <w:r>
        <w:t xml:space="preserve"> Title 28 </w:t>
      </w:r>
      <w:r w:rsidR="00850791">
        <w:t xml:space="preserve">of the </w:t>
      </w:r>
      <w:r>
        <w:t xml:space="preserve">California Code of Regulations (CCR) section 1300.67.2.2. The CCR is searchable at: </w:t>
      </w:r>
      <w:hyperlink r:id="rId2" w:history="1">
        <w:r>
          <w:rPr>
            <w:rStyle w:val="Hyperlink"/>
          </w:rPr>
          <w:t>https://govt.westlaw.com/calregs/Search/Index</w:t>
        </w:r>
      </w:hyperlink>
      <w:r>
        <w:t>.</w:t>
      </w:r>
    </w:p>
  </w:footnote>
  <w:footnote w:id="5">
    <w:p w14:paraId="6C1C4577" w14:textId="644D80BC" w:rsidR="00343EC5" w:rsidRDefault="00343EC5">
      <w:pPr>
        <w:pStyle w:val="FootnoteText"/>
        <w:rPr>
          <w:rFonts w:cs="Arial"/>
        </w:rPr>
      </w:pPr>
      <w:r>
        <w:rPr>
          <w:rStyle w:val="FootnoteReference"/>
          <w:rFonts w:cs="Arial"/>
        </w:rPr>
        <w:footnoteRef/>
      </w:r>
      <w:r>
        <w:rPr>
          <w:rFonts w:cs="Arial"/>
        </w:rPr>
        <w:t xml:space="preserve"> MCP Contract, Exhibit A, Attachment 9, Access and Availability. DHCS Boilerplate Managed Care Contracts are available at: </w:t>
      </w:r>
      <w:hyperlink r:id="rId3" w:history="1">
        <w:r>
          <w:rPr>
            <w:rStyle w:val="Hyperlink"/>
            <w:rFonts w:cs="Arial"/>
          </w:rPr>
          <w:t>https://www.dhcs.ca.gov/provgovpart/Pages/MMCDBoilerplateContracts.aspx</w:t>
        </w:r>
      </w:hyperlink>
      <w:r w:rsidR="00EF3AD3">
        <w:rPr>
          <w:rFonts w:cs="Arial"/>
        </w:rPr>
        <w:t>.</w:t>
      </w:r>
    </w:p>
  </w:footnote>
  <w:footnote w:id="6">
    <w:p w14:paraId="436E54F4" w14:textId="0C50A562" w:rsidR="00343EC5" w:rsidRDefault="00343EC5">
      <w:pPr>
        <w:pStyle w:val="FootnoteText"/>
        <w:rPr>
          <w:rFonts w:cs="Arial"/>
        </w:rPr>
      </w:pPr>
      <w:r>
        <w:rPr>
          <w:rStyle w:val="FootnoteReference"/>
          <w:rFonts w:cs="Arial"/>
        </w:rPr>
        <w:footnoteRef/>
      </w:r>
      <w:r>
        <w:rPr>
          <w:rFonts w:cs="Arial"/>
        </w:rPr>
        <w:t xml:space="preserve"> 42 CFR section 438.206. Part 438 of the CFR is searchable at: </w:t>
      </w:r>
      <w:hyperlink r:id="rId4" w:history="1">
        <w:r>
          <w:rPr>
            <w:rStyle w:val="Hyperlink"/>
            <w:rFonts w:cs="Arial"/>
          </w:rPr>
          <w:t>https://www.ecfr.gov/current/title-42/chapter-IV/subchapter-C/part-438</w:t>
        </w:r>
      </w:hyperlink>
      <w:r w:rsidR="00EF3AD3">
        <w:rPr>
          <w:rStyle w:val="Hyperlink"/>
          <w:rFonts w:cs="Arial"/>
        </w:rPr>
        <w:t>.</w:t>
      </w:r>
      <w:r>
        <w:rPr>
          <w:rFonts w:cs="Arial"/>
        </w:rPr>
        <w:t xml:space="preserve"> </w:t>
      </w:r>
    </w:p>
  </w:footnote>
  <w:footnote w:id="7">
    <w:p w14:paraId="505245B3" w14:textId="7697BD38" w:rsidR="005B4CE6" w:rsidRDefault="005B4CE6">
      <w:pPr>
        <w:pStyle w:val="FootnoteText"/>
      </w:pPr>
      <w:r>
        <w:rPr>
          <w:rStyle w:val="FootnoteReference"/>
        </w:rPr>
        <w:footnoteRef/>
      </w:r>
      <w:r>
        <w:t xml:space="preserve"> </w:t>
      </w:r>
      <w:r w:rsidR="00C1341D">
        <w:t>Applicable standards for t</w:t>
      </w:r>
      <w:r>
        <w:t>imely acce</w:t>
      </w:r>
      <w:r w:rsidR="00C1341D">
        <w:t>ss to health care services</w:t>
      </w:r>
      <w:r>
        <w:t xml:space="preserve"> inclu</w:t>
      </w:r>
      <w:r w:rsidR="00C1341D">
        <w:t xml:space="preserve">de, but is not limited to, </w:t>
      </w:r>
      <w:r w:rsidRPr="005B4CE6">
        <w:t>meeting standards related to appointment availability and wait times; being subject to timely access survey (audits); and submitting annual network certifications.</w:t>
      </w:r>
    </w:p>
  </w:footnote>
  <w:footnote w:id="8">
    <w:p w14:paraId="292D7029" w14:textId="2AF64F22" w:rsidR="00B83B7B" w:rsidRDefault="00B83B7B" w:rsidP="00B83B7B">
      <w:pPr>
        <w:pStyle w:val="FootnoteText"/>
        <w:rPr>
          <w:rFonts w:cs="Arial"/>
        </w:rPr>
      </w:pPr>
      <w:r>
        <w:rPr>
          <w:rStyle w:val="FootnoteReference"/>
          <w:rFonts w:cs="Arial"/>
        </w:rPr>
        <w:footnoteRef/>
      </w:r>
      <w:r>
        <w:rPr>
          <w:rFonts w:cs="Arial"/>
        </w:rPr>
        <w:t xml:space="preserve"> SB 221 (Weiner, Chapter 724, Statutes of 2021) is available at: </w:t>
      </w:r>
      <w:hyperlink r:id="rId5" w:history="1">
        <w:r>
          <w:rPr>
            <w:rStyle w:val="Hyperlink"/>
            <w:rFonts w:cs="Arial"/>
          </w:rPr>
          <w:t>https://leginfo.legislature.ca.gov/faces/billNavClient.xhtml?bill_id=202120220SB221</w:t>
        </w:r>
      </w:hyperlink>
      <w:r w:rsidR="00EF3AD3">
        <w:rPr>
          <w:rStyle w:val="Hyperlink"/>
          <w:rFonts w:cs="Arial"/>
        </w:rPr>
        <w:t>.</w:t>
      </w:r>
    </w:p>
  </w:footnote>
  <w:footnote w:id="9">
    <w:p w14:paraId="4A815695" w14:textId="481AE200" w:rsidR="00343EC5" w:rsidRDefault="00343EC5" w:rsidP="00DF55C9">
      <w:pPr>
        <w:pStyle w:val="FootnoteText"/>
      </w:pPr>
      <w:r>
        <w:rPr>
          <w:rStyle w:val="FootnoteReference"/>
        </w:rPr>
        <w:footnoteRef/>
      </w:r>
      <w:r>
        <w:t xml:space="preserve"> </w:t>
      </w:r>
      <w:r>
        <w:rPr>
          <w:rFonts w:cs="Arial"/>
        </w:rPr>
        <w:t xml:space="preserve">For more information, see </w:t>
      </w:r>
      <w:r>
        <w:rPr>
          <w:rFonts w:cs="Arial"/>
          <w:kern w:val="20"/>
        </w:rPr>
        <w:t xml:space="preserve">APL 21-006 or any superseding APL. APLs are searchable at: </w:t>
      </w:r>
      <w:hyperlink r:id="rId6" w:history="1">
        <w:r>
          <w:rPr>
            <w:rStyle w:val="Hyperlink"/>
            <w:rFonts w:cs="Arial"/>
          </w:rPr>
          <w:t>https://www.dhcs.ca.gov/formsandpubs/Pages/AllPlanLetters.aspx</w:t>
        </w:r>
      </w:hyperlink>
      <w:r w:rsidR="00EF3AD3">
        <w:rPr>
          <w:rStyle w:val="Hyperlink"/>
          <w:rFonts w:cs="Arial"/>
        </w:rPr>
        <w:t>.</w:t>
      </w:r>
    </w:p>
  </w:footnote>
  <w:footnote w:id="10">
    <w:p w14:paraId="22645D05" w14:textId="7B7B9194" w:rsidR="00343EC5" w:rsidRPr="00B4122B" w:rsidRDefault="00343EC5" w:rsidP="00EC31AB">
      <w:pPr>
        <w:pStyle w:val="FootnoteText"/>
        <w:rPr>
          <w:b/>
        </w:rPr>
      </w:pPr>
      <w:r>
        <w:rPr>
          <w:rStyle w:val="FootnoteReference"/>
        </w:rPr>
        <w:footnoteRef/>
      </w:r>
      <w:r>
        <w:t xml:space="preserve"> Details on the Timely Access Survey can be found in the 2019 Medi-Cal Managed Care External Quality Review Technical Report at: </w:t>
      </w:r>
      <w:hyperlink r:id="rId7" w:history="1">
        <w:r w:rsidRPr="00047952">
          <w:rPr>
            <w:color w:val="0000FF"/>
            <w:szCs w:val="22"/>
            <w:u w:val="single"/>
          </w:rPr>
          <w:t>https://www.dhcs.ca.gov/Documents/MCQMD/CA2019-20-EQR-Technical-Report-Vol1-F1.pdf</w:t>
        </w:r>
      </w:hyperlink>
      <w:r w:rsidR="00EF3AD3">
        <w:rPr>
          <w:color w:val="0000FF"/>
          <w:szCs w:val="22"/>
          <w:u w:val="single"/>
        </w:rPr>
        <w:t>.</w:t>
      </w:r>
    </w:p>
  </w:footnote>
  <w:footnote w:id="11">
    <w:p w14:paraId="6BFD037D" w14:textId="2D585F95" w:rsidR="00343EC5" w:rsidRDefault="00343EC5">
      <w:pPr>
        <w:pStyle w:val="FootnoteText"/>
      </w:pPr>
      <w:r>
        <w:rPr>
          <w:rStyle w:val="FootnoteReference"/>
        </w:rPr>
        <w:footnoteRef/>
      </w:r>
      <w:r>
        <w:t xml:space="preserve"> For more information, see APL 16-019 or any superseding APL.</w:t>
      </w:r>
    </w:p>
  </w:footnote>
  <w:footnote w:id="12">
    <w:p w14:paraId="7ABDE8DB" w14:textId="6346C40A" w:rsidR="00343EC5" w:rsidRDefault="00343EC5">
      <w:pPr>
        <w:pStyle w:val="FootnoteText"/>
        <w:rPr>
          <w:rFonts w:cs="Arial"/>
        </w:rPr>
      </w:pPr>
      <w:r>
        <w:rPr>
          <w:rStyle w:val="FootnoteReference"/>
          <w:rFonts w:cs="Arial"/>
        </w:rPr>
        <w:footnoteRef/>
      </w:r>
      <w:r>
        <w:rPr>
          <w:rFonts w:cs="Arial"/>
        </w:rPr>
        <w:t xml:space="preserve"> Timely access standards also apply to Long Term Services and Supports facilities, but are monitored outside of the Timely Access Survey. For more information, see APL 21-006. </w:t>
      </w:r>
    </w:p>
  </w:footnote>
  <w:footnote w:id="13">
    <w:p w14:paraId="629B200E" w14:textId="618A973A" w:rsidR="00343EC5" w:rsidRDefault="00343EC5">
      <w:pPr>
        <w:pStyle w:val="FootnoteText"/>
        <w:rPr>
          <w:rFonts w:cs="Arial"/>
        </w:rPr>
      </w:pPr>
      <w:r>
        <w:rPr>
          <w:rStyle w:val="FootnoteReference"/>
          <w:rFonts w:cs="Arial"/>
        </w:rPr>
        <w:footnoteRef/>
      </w:r>
      <w:r>
        <w:rPr>
          <w:rFonts w:cs="Arial"/>
        </w:rPr>
        <w:t xml:space="preserve"> Dental timely access standards apply to MCPs that offer dental services. </w:t>
      </w:r>
    </w:p>
  </w:footnote>
  <w:footnote w:id="14">
    <w:p w14:paraId="7F498961" w14:textId="2925A7CA" w:rsidR="00343EC5" w:rsidRDefault="00343EC5">
      <w:pPr>
        <w:pStyle w:val="FootnoteText"/>
      </w:pPr>
      <w:r>
        <w:rPr>
          <w:rStyle w:val="FootnoteReference"/>
        </w:rPr>
        <w:footnoteRef/>
      </w:r>
      <w:r>
        <w:t xml:space="preserve"> The timely access standard for appointments is based on when the member makes the request for appointment (e.g., within 48 hours from the member’s request for appointment).</w:t>
      </w:r>
    </w:p>
  </w:footnote>
  <w:footnote w:id="15">
    <w:p w14:paraId="742994B8" w14:textId="57E531C2" w:rsidR="00343EC5" w:rsidRDefault="00343EC5">
      <w:pPr>
        <w:pStyle w:val="FootnoteText"/>
        <w:rPr>
          <w:rFonts w:cs="Arial"/>
        </w:rPr>
      </w:pPr>
      <w:r>
        <w:rPr>
          <w:rStyle w:val="FootnoteReference"/>
          <w:rFonts w:cs="Arial"/>
        </w:rPr>
        <w:footnoteRef/>
      </w:r>
      <w:r>
        <w:rPr>
          <w:rFonts w:cs="Arial"/>
        </w:rPr>
        <w:t xml:space="preserve"> DHCS will not evaluate this requirement in the Timely Access Survey measurement year 2022. </w:t>
      </w:r>
    </w:p>
  </w:footnote>
  <w:footnote w:id="16">
    <w:p w14:paraId="56F9DE3D" w14:textId="5AF3D96A" w:rsidR="00343EC5" w:rsidRDefault="00343EC5" w:rsidP="00A86E23">
      <w:pPr>
        <w:pStyle w:val="FootnoteText"/>
      </w:pPr>
      <w:r>
        <w:rPr>
          <w:rStyle w:val="FootnoteReference"/>
        </w:rPr>
        <w:footnoteRef/>
      </w:r>
      <w:r>
        <w:t xml:space="preserve"> HSC </w:t>
      </w:r>
      <w:r w:rsidR="000972C1">
        <w:t xml:space="preserve">section </w:t>
      </w:r>
      <w:r>
        <w:t>1367.03(a)(10).</w:t>
      </w:r>
    </w:p>
  </w:footnote>
  <w:footnote w:id="17">
    <w:p w14:paraId="730DF04D" w14:textId="7DE8B724" w:rsidR="00343EC5" w:rsidRDefault="00343EC5">
      <w:pPr>
        <w:pStyle w:val="FootnoteText"/>
      </w:pPr>
      <w:r>
        <w:rPr>
          <w:rStyle w:val="FootnoteReference"/>
        </w:rPr>
        <w:footnoteRef/>
      </w:r>
      <w:r>
        <w:t xml:space="preserve"> 28 CCR </w:t>
      </w:r>
      <w:r w:rsidR="000972C1">
        <w:t xml:space="preserve">section </w:t>
      </w:r>
      <w:r>
        <w:t>1300.67.2.2(c)(5)(G)</w:t>
      </w:r>
      <w:r w:rsidR="00EF3AD3">
        <w:t>.</w:t>
      </w:r>
    </w:p>
  </w:footnote>
  <w:footnote w:id="18">
    <w:p w14:paraId="7A3B5CAA" w14:textId="721FAD20" w:rsidR="00343EC5" w:rsidRDefault="00343EC5">
      <w:pPr>
        <w:pStyle w:val="FootnoteText"/>
        <w:rPr>
          <w:rFonts w:cs="Arial"/>
        </w:rPr>
      </w:pPr>
      <w:r>
        <w:rPr>
          <w:rStyle w:val="FootnoteReference"/>
          <w:rFonts w:cs="Arial"/>
        </w:rPr>
        <w:footnoteRef/>
      </w:r>
      <w:r>
        <w:rPr>
          <w:rFonts w:cs="Arial"/>
        </w:rPr>
        <w:t xml:space="preserve"> HSC </w:t>
      </w:r>
      <w:r w:rsidR="000972C1">
        <w:rPr>
          <w:rFonts w:cs="Arial"/>
        </w:rPr>
        <w:t xml:space="preserve">section </w:t>
      </w:r>
      <w:r>
        <w:rPr>
          <w:rFonts w:cs="Arial"/>
        </w:rPr>
        <w:t>1367.03(a)(5)(J).</w:t>
      </w:r>
    </w:p>
  </w:footnote>
  <w:footnote w:id="19">
    <w:p w14:paraId="33733521" w14:textId="62026494" w:rsidR="00343EC5" w:rsidRDefault="00343EC5">
      <w:pPr>
        <w:pStyle w:val="FootnoteText"/>
      </w:pPr>
      <w:r>
        <w:rPr>
          <w:rStyle w:val="FootnoteReference"/>
        </w:rPr>
        <w:footnoteRef/>
      </w:r>
      <w:r>
        <w:t xml:space="preserve"> For more information, see </w:t>
      </w:r>
      <w:r>
        <w:rPr>
          <w:rFonts w:cs="Arial"/>
        </w:rPr>
        <w:t>APL 21-004</w:t>
      </w:r>
      <w:r w:rsidRPr="0024031B">
        <w:t xml:space="preserve"> </w:t>
      </w:r>
      <w:r>
        <w:t>or any superseding APL</w:t>
      </w:r>
      <w:r w:rsidR="00EF3AD3">
        <w:t>.</w:t>
      </w:r>
    </w:p>
  </w:footnote>
  <w:footnote w:id="20">
    <w:p w14:paraId="525ECF7B" w14:textId="77777777" w:rsidR="00343EC5" w:rsidRDefault="00343EC5">
      <w:pPr>
        <w:pStyle w:val="FootnoteText"/>
        <w:rPr>
          <w:rFonts w:cs="Arial"/>
        </w:rPr>
      </w:pPr>
      <w:r>
        <w:rPr>
          <w:rStyle w:val="FootnoteReference"/>
          <w:rFonts w:cs="Arial"/>
        </w:rPr>
        <w:footnoteRef/>
      </w:r>
      <w:r>
        <w:rPr>
          <w:rFonts w:cs="Arial"/>
        </w:rPr>
        <w:t xml:space="preserve"> MCP Contract, Exhibit A, Attachment 9, Access and Availability.</w:t>
      </w:r>
    </w:p>
  </w:footnote>
  <w:footnote w:id="21">
    <w:p w14:paraId="66588240" w14:textId="2009E0A6" w:rsidR="006258DA" w:rsidRDefault="006258DA">
      <w:pPr>
        <w:pStyle w:val="FootnoteText"/>
      </w:pPr>
      <w:r>
        <w:rPr>
          <w:rStyle w:val="FootnoteReference"/>
        </w:rPr>
        <w:footnoteRef/>
      </w:r>
      <w:r>
        <w:t xml:space="preserve"> HSC </w:t>
      </w:r>
      <w:r w:rsidR="000972C1">
        <w:t xml:space="preserve">section </w:t>
      </w:r>
      <w:r>
        <w:t>1367.03(a)(5)(</w:t>
      </w:r>
      <w:r w:rsidR="00E441AC">
        <w:t>F)</w:t>
      </w:r>
      <w:r w:rsidR="00EF3AD3">
        <w:t>.</w:t>
      </w:r>
    </w:p>
  </w:footnote>
  <w:footnote w:id="22">
    <w:p w14:paraId="1EB1A993" w14:textId="11323F65" w:rsidR="004D3F04" w:rsidRDefault="004D3F04">
      <w:pPr>
        <w:pStyle w:val="FootnoteText"/>
      </w:pPr>
      <w:r>
        <w:rPr>
          <w:rStyle w:val="FootnoteReference"/>
        </w:rPr>
        <w:footnoteRef/>
      </w:r>
      <w:r>
        <w:t xml:space="preserve"> </w:t>
      </w:r>
      <w:r>
        <w:rPr>
          <w:rFonts w:cs="Arial"/>
          <w:kern w:val="20"/>
        </w:rPr>
        <w:t>DHCS may develop additional compliance thresholds at a later date.</w:t>
      </w:r>
    </w:p>
  </w:footnote>
  <w:footnote w:id="23">
    <w:p w14:paraId="644CF55B" w14:textId="2E8C20B7" w:rsidR="00AA73B3" w:rsidRDefault="00AA73B3" w:rsidP="00AA73B3">
      <w:pPr>
        <w:pStyle w:val="FootnoteText"/>
      </w:pPr>
      <w:r>
        <w:rPr>
          <w:rStyle w:val="FootnoteReference"/>
        </w:rPr>
        <w:footnoteRef/>
      </w:r>
      <w:r>
        <w:t xml:space="preserve"> See the Medi-Cal Managed Care 2019 Annual Timely Access Report for details on MCPs’ Timely Access Standards compliance rates, available at: </w:t>
      </w:r>
      <w:hyperlink r:id="rId8" w:history="1">
        <w:r w:rsidRPr="006160F7">
          <w:rPr>
            <w:rStyle w:val="Hyperlink"/>
          </w:rPr>
          <w:t>https://www.dhcs.ca.gov/Documents/MCQMD/Timely-Access-Report.pdf</w:t>
        </w:r>
      </w:hyperlink>
      <w:r w:rsidR="00EF3AD3">
        <w:rPr>
          <w:rStyle w:val="Hyperlink"/>
        </w:rPr>
        <w:t>.</w:t>
      </w:r>
    </w:p>
  </w:footnote>
  <w:footnote w:id="24">
    <w:p w14:paraId="22F78BDB" w14:textId="77777777" w:rsidR="00343EC5" w:rsidRDefault="00343EC5" w:rsidP="009D47C2">
      <w:pPr>
        <w:pStyle w:val="FootnoteText"/>
        <w:rPr>
          <w:rFonts w:cs="Arial"/>
        </w:rPr>
      </w:pPr>
      <w:r>
        <w:rPr>
          <w:rStyle w:val="FootnoteReference"/>
          <w:rFonts w:cs="Arial"/>
        </w:rPr>
        <w:footnoteRef/>
      </w:r>
      <w:r>
        <w:rPr>
          <w:rFonts w:cs="Arial"/>
        </w:rPr>
        <w:t xml:space="preserve"> For purposes of the Timely Access Survey, PCPs include non-physician medical practitioners. </w:t>
      </w:r>
    </w:p>
  </w:footnote>
  <w:footnote w:id="25">
    <w:p w14:paraId="0DBD284E" w14:textId="77777777" w:rsidR="00343EC5" w:rsidRDefault="00343EC5" w:rsidP="009D47C2">
      <w:pPr>
        <w:pStyle w:val="FootnoteText"/>
        <w:rPr>
          <w:rFonts w:cs="Arial"/>
        </w:rPr>
      </w:pPr>
      <w:r>
        <w:rPr>
          <w:rStyle w:val="FootnoteReference"/>
          <w:rFonts w:cs="Arial"/>
        </w:rPr>
        <w:footnoteRef/>
      </w:r>
      <w:r>
        <w:rPr>
          <w:rFonts w:cs="Arial"/>
        </w:rPr>
        <w:t xml:space="preserve"> DHCS core specialists are specified in APL 21-006, Network Certification Requirements, Attachment A or any subsequent revisions. </w:t>
      </w:r>
    </w:p>
  </w:footnote>
  <w:footnote w:id="26">
    <w:p w14:paraId="2CBFE059" w14:textId="77777777" w:rsidR="00343EC5" w:rsidRDefault="00343EC5" w:rsidP="009D47C2">
      <w:pPr>
        <w:pStyle w:val="FootnoteText"/>
      </w:pPr>
      <w:r>
        <w:rPr>
          <w:rStyle w:val="FootnoteReference"/>
        </w:rPr>
        <w:footnoteRef/>
      </w:r>
      <w:r>
        <w:t xml:space="preserve"> Any MCP not meeting 100% compliance could be subject to corrective actions and/or sanctions if there are significant findings and/or member harm has been determined.  </w:t>
      </w:r>
    </w:p>
  </w:footnote>
  <w:footnote w:id="27">
    <w:p w14:paraId="580E9005" w14:textId="186C20F8" w:rsidR="00343EC5" w:rsidRDefault="00343EC5" w:rsidP="009D47C2">
      <w:pPr>
        <w:pStyle w:val="FootnoteText"/>
      </w:pPr>
      <w:r>
        <w:rPr>
          <w:rStyle w:val="FootnoteReference"/>
        </w:rPr>
        <w:footnoteRef/>
      </w:r>
      <w:r>
        <w:t xml:space="preserve"> </w:t>
      </w:r>
      <w:r w:rsidR="00F751F0">
        <w:t>W</w:t>
      </w:r>
      <w:r w:rsidR="00DC4FCE">
        <w:t>elfare and Institutions Code</w:t>
      </w:r>
      <w:r w:rsidR="00F751F0">
        <w:t xml:space="preserve"> </w:t>
      </w:r>
      <w:r w:rsidR="00BA4234">
        <w:t xml:space="preserve">(WIC) </w:t>
      </w:r>
      <w:r w:rsidR="00F751F0">
        <w:t>section</w:t>
      </w:r>
      <w:r>
        <w:t xml:space="preserve"> 14197.7</w:t>
      </w:r>
      <w:r w:rsidR="00EF3AD3">
        <w:t>.</w:t>
      </w:r>
    </w:p>
  </w:footnote>
  <w:footnote w:id="28">
    <w:p w14:paraId="16E3F40A" w14:textId="5DA89225" w:rsidR="00343EC5" w:rsidRDefault="00343EC5">
      <w:pPr>
        <w:pStyle w:val="FootnoteText"/>
      </w:pPr>
      <w:r>
        <w:rPr>
          <w:rStyle w:val="FootnoteReference"/>
          <w:rFonts w:cs="Arial"/>
        </w:rPr>
        <w:footnoteRef/>
      </w:r>
      <w:r>
        <w:rPr>
          <w:rFonts w:cs="Arial"/>
        </w:rPr>
        <w:t xml:space="preserve"> 28 CCR </w:t>
      </w:r>
      <w:r w:rsidR="000972C1">
        <w:rPr>
          <w:rFonts w:cs="Arial"/>
        </w:rPr>
        <w:t xml:space="preserve">section </w:t>
      </w:r>
      <w:r>
        <w:rPr>
          <w:rFonts w:cs="Arial"/>
        </w:rPr>
        <w:t>1300.67.2.2</w:t>
      </w:r>
      <w:r w:rsidR="00EF3AD3">
        <w:rPr>
          <w:rFonts w:cs="Arial"/>
        </w:rPr>
        <w:t>.</w:t>
      </w:r>
    </w:p>
  </w:footnote>
  <w:footnote w:id="29">
    <w:p w14:paraId="71D9F4F7" w14:textId="77777777" w:rsidR="00343EC5" w:rsidRDefault="00343EC5">
      <w:pPr>
        <w:pStyle w:val="FootnoteText"/>
        <w:rPr>
          <w:rFonts w:cs="Arial"/>
        </w:rPr>
      </w:pPr>
      <w:r>
        <w:rPr>
          <w:rStyle w:val="FootnoteReference"/>
          <w:rFonts w:cs="Arial"/>
        </w:rPr>
        <w:footnoteRef/>
      </w:r>
      <w:r>
        <w:rPr>
          <w:rFonts w:cs="Arial"/>
        </w:rPr>
        <w:t xml:space="preserve"> For more information on subcontractors and network providers, including the definition and applicable requirements, see APL 19-001 or any superseding APL.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16BE" w14:textId="77777777" w:rsidR="00343EC5" w:rsidRDefault="00343EC5">
    <w:pPr>
      <w:pStyle w:val="Title"/>
      <w:rPr>
        <w:rFonts w:ascii="Arial Narrow" w:hAnsi="Arial Narrow" w:cs="Arial"/>
        <w:color w:val="000000"/>
        <w:szCs w:val="28"/>
      </w:rPr>
    </w:pPr>
    <w:r>
      <w:rPr>
        <w:noProof/>
      </w:rPr>
      <w:drawing>
        <wp:anchor distT="0" distB="0" distL="114300" distR="114300" simplePos="0" relativeHeight="251656704" behindDoc="0" locked="0" layoutInCell="1" allowOverlap="1" wp14:anchorId="18117708" wp14:editId="71101C36">
          <wp:simplePos x="0" y="0"/>
          <wp:positionH relativeFrom="column">
            <wp:posOffset>228600</wp:posOffset>
          </wp:positionH>
          <wp:positionV relativeFrom="paragraph">
            <wp:posOffset>86995</wp:posOffset>
          </wp:positionV>
          <wp:extent cx="914400" cy="868045"/>
          <wp:effectExtent l="0" t="0" r="0" b="0"/>
          <wp:wrapNone/>
          <wp:docPr id="5" name="Picture 5" descr="logo_DHC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DHCS_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804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32"/>
      </w:rPr>
      <w:drawing>
        <wp:anchor distT="0" distB="0" distL="114300" distR="114300" simplePos="0" relativeHeight="251655680" behindDoc="1" locked="0" layoutInCell="1" allowOverlap="1" wp14:anchorId="12172733" wp14:editId="1D479271">
          <wp:simplePos x="0" y="0"/>
          <wp:positionH relativeFrom="column">
            <wp:posOffset>6057900</wp:posOffset>
          </wp:positionH>
          <wp:positionV relativeFrom="paragraph">
            <wp:posOffset>86995</wp:posOffset>
          </wp:positionV>
          <wp:extent cx="800100" cy="800100"/>
          <wp:effectExtent l="0" t="0" r="0" b="0"/>
          <wp:wrapNone/>
          <wp:docPr id="6" name="Picture 6"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e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color w:val="000000"/>
        <w:szCs w:val="28"/>
      </w:rPr>
      <w:t>State of California—Health and Human Services Agency</w:t>
    </w:r>
  </w:p>
  <w:p w14:paraId="7DA9331D" w14:textId="77777777" w:rsidR="00343EC5" w:rsidRDefault="00343EC5">
    <w:pPr>
      <w:pStyle w:val="Header"/>
      <w:tabs>
        <w:tab w:val="clear" w:pos="4320"/>
        <w:tab w:val="clear" w:pos="8640"/>
        <w:tab w:val="left" w:pos="823"/>
        <w:tab w:val="center" w:pos="5645"/>
        <w:tab w:val="center" w:pos="5760"/>
        <w:tab w:val="right" w:pos="10800"/>
      </w:tabs>
      <w:rPr>
        <w:rFonts w:ascii="Arial Narrow" w:hAnsi="Arial Narrow" w:cs="Arial"/>
        <w:color w:val="000000"/>
        <w:sz w:val="44"/>
      </w:rPr>
    </w:pPr>
    <w:r>
      <w:rPr>
        <w:rFonts w:ascii="Arial Narrow" w:hAnsi="Arial Narrow" w:cs="Arial"/>
        <w:color w:val="000000"/>
        <w:sz w:val="44"/>
      </w:rPr>
      <w:tab/>
    </w:r>
    <w:r>
      <w:rPr>
        <w:rFonts w:ascii="Arial Narrow" w:hAnsi="Arial Narrow" w:cs="Arial"/>
        <w:color w:val="000000"/>
        <w:sz w:val="44"/>
      </w:rPr>
      <w:tab/>
      <w:t>Department of Health Care Services</w:t>
    </w:r>
  </w:p>
  <w:p w14:paraId="5F1AD34D" w14:textId="77777777" w:rsidR="00343EC5" w:rsidRDefault="00343EC5">
    <w:pPr>
      <w:pStyle w:val="Header"/>
      <w:tabs>
        <w:tab w:val="clear" w:pos="4320"/>
        <w:tab w:val="clear" w:pos="8640"/>
        <w:tab w:val="left" w:pos="823"/>
        <w:tab w:val="center" w:pos="5760"/>
        <w:tab w:val="right" w:pos="10800"/>
      </w:tabs>
      <w:rPr>
        <w:rFonts w:cs="Arial"/>
        <w:color w:val="000000"/>
        <w:sz w:val="32"/>
      </w:rPr>
    </w:pPr>
    <w:r>
      <w:rPr>
        <w:rFonts w:cs="Arial"/>
        <w:color w:val="000000"/>
        <w:sz w:val="32"/>
      </w:rPr>
      <w:tab/>
    </w:r>
  </w:p>
  <w:p w14:paraId="2329086B" w14:textId="77777777" w:rsidR="00343EC5" w:rsidRDefault="00343EC5">
    <w:pPr>
      <w:pStyle w:val="Header"/>
      <w:tabs>
        <w:tab w:val="clear" w:pos="4320"/>
        <w:tab w:val="clear" w:pos="8640"/>
        <w:tab w:val="center" w:pos="5760"/>
        <w:tab w:val="right" w:pos="10800"/>
      </w:tabs>
      <w:jc w:val="center"/>
      <w:rPr>
        <w:rFonts w:cs="Arial"/>
        <w:color w:val="000000"/>
        <w:sz w:val="32"/>
      </w:rPr>
    </w:pPr>
  </w:p>
  <w:p w14:paraId="7834A35F" w14:textId="77777777" w:rsidR="00343EC5" w:rsidRDefault="00343EC5">
    <w:pPr>
      <w:pStyle w:val="Header"/>
      <w:tabs>
        <w:tab w:val="clear" w:pos="4320"/>
        <w:tab w:val="clear" w:pos="8640"/>
        <w:tab w:val="center" w:pos="1080"/>
        <w:tab w:val="center" w:pos="10080"/>
      </w:tabs>
      <w:rPr>
        <w:rFonts w:ascii="Arial Narrow" w:hAnsi="Arial Narrow" w:cs="Arial"/>
        <w:b/>
        <w:bCs/>
        <w:sz w:val="16"/>
      </w:rPr>
    </w:pPr>
    <w:r>
      <w:rPr>
        <w:rFonts w:cs="Arial"/>
        <w:b/>
        <w:bCs/>
        <w:sz w:val="16"/>
      </w:rPr>
      <w:tab/>
    </w:r>
    <w:r>
      <w:rPr>
        <w:rFonts w:ascii="Arial Narrow" w:hAnsi="Arial Narrow" w:cs="Arial"/>
        <w:b/>
        <w:bCs/>
        <w:sz w:val="16"/>
      </w:rPr>
      <w:t>JENNIFER KENT</w:t>
    </w:r>
    <w:r>
      <w:rPr>
        <w:rFonts w:ascii="Arial Narrow" w:hAnsi="Arial Narrow" w:cs="Arial"/>
        <w:b/>
        <w:bCs/>
        <w:sz w:val="16"/>
      </w:rPr>
      <w:tab/>
    </w:r>
    <w:r>
      <w:rPr>
        <w:rFonts w:ascii="Arial Narrow" w:hAnsi="Arial Narrow" w:cs="Arial"/>
        <w:b/>
        <w:bCs/>
        <w:color w:val="000000"/>
        <w:sz w:val="16"/>
      </w:rPr>
      <w:t>EDMUND G. BROWN JR.</w:t>
    </w:r>
  </w:p>
  <w:p w14:paraId="166C5DB0" w14:textId="77777777" w:rsidR="00343EC5" w:rsidRDefault="00343EC5">
    <w:pPr>
      <w:pStyle w:val="Header"/>
      <w:tabs>
        <w:tab w:val="clear" w:pos="4320"/>
        <w:tab w:val="clear" w:pos="8640"/>
        <w:tab w:val="center" w:pos="1080"/>
        <w:tab w:val="center" w:pos="10080"/>
      </w:tabs>
      <w:rPr>
        <w:rFonts w:ascii="Arial Narrow" w:hAnsi="Arial Narrow"/>
        <w:bCs/>
        <w:i/>
        <w:iCs/>
        <w:color w:val="000000"/>
        <w:sz w:val="16"/>
      </w:rPr>
    </w:pPr>
    <w:r>
      <w:rPr>
        <w:rFonts w:ascii="Arial Narrow" w:hAnsi="Arial Narrow" w:cs="Arial"/>
        <w:b/>
        <w:bCs/>
        <w:i/>
        <w:sz w:val="16"/>
      </w:rPr>
      <w:tab/>
    </w:r>
    <w:r>
      <w:rPr>
        <w:rFonts w:ascii="Arial Narrow" w:hAnsi="Arial Narrow" w:cs="Arial"/>
        <w:i/>
        <w:sz w:val="16"/>
      </w:rPr>
      <w:t>DIRECTOR</w:t>
    </w:r>
    <w:r>
      <w:rPr>
        <w:rFonts w:ascii="Arial Narrow" w:hAnsi="Arial Narrow" w:cs="Arial"/>
        <w:i/>
        <w:sz w:val="16"/>
      </w:rPr>
      <w:tab/>
    </w:r>
    <w:r>
      <w:rPr>
        <w:rFonts w:ascii="Arial Narrow" w:hAnsi="Arial Narrow"/>
        <w:bCs/>
        <w:i/>
        <w:iCs/>
        <w:color w:val="000000"/>
        <w:sz w:val="16"/>
      </w:rPr>
      <w:t>GOVERNOR</w:t>
    </w:r>
  </w:p>
  <w:p w14:paraId="5652EB3F" w14:textId="77777777" w:rsidR="00343EC5" w:rsidRDefault="00343EC5">
    <w:pPr>
      <w:pStyle w:val="Header"/>
      <w:tabs>
        <w:tab w:val="clear" w:pos="4320"/>
        <w:tab w:val="clear" w:pos="8640"/>
        <w:tab w:val="center" w:pos="1080"/>
        <w:tab w:val="center" w:pos="10080"/>
      </w:tabs>
      <w:rPr>
        <w:rFonts w:ascii="Arial Narrow" w:hAnsi="Arial Narrow" w:cs="Arial"/>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7A4C" w14:textId="77777777" w:rsidR="00343EC5" w:rsidRDefault="00343EC5">
    <w:pPr>
      <w:jc w:val="center"/>
      <w:rPr>
        <w:rFonts w:ascii="Arial Narrow" w:hAnsi="Arial Narrow" w:cs="Arial"/>
        <w:color w:val="000000"/>
        <w:sz w:val="28"/>
        <w:szCs w:val="28"/>
      </w:rPr>
    </w:pPr>
    <w:r>
      <w:rPr>
        <w:rFonts w:ascii="Times New Roman" w:hAnsi="Times New Roman"/>
        <w:noProof/>
        <w:color w:val="333399"/>
        <w:sz w:val="28"/>
      </w:rPr>
      <w:drawing>
        <wp:anchor distT="0" distB="0" distL="114300" distR="114300" simplePos="0" relativeHeight="251658752" behindDoc="0" locked="0" layoutInCell="1" allowOverlap="1" wp14:anchorId="5DC9B464" wp14:editId="1E1A5B23">
          <wp:simplePos x="0" y="0"/>
          <wp:positionH relativeFrom="margin">
            <wp:posOffset>-180975</wp:posOffset>
          </wp:positionH>
          <wp:positionV relativeFrom="paragraph">
            <wp:posOffset>205740</wp:posOffset>
          </wp:positionV>
          <wp:extent cx="960120" cy="963295"/>
          <wp:effectExtent l="0" t="0" r="0" b="0"/>
          <wp:wrapSquare wrapText="bothSides"/>
          <wp:docPr id="2" name="Picture 2" descr="DHCS-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HCS-logo-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color w:val="000000"/>
        <w:sz w:val="28"/>
        <w:szCs w:val="28"/>
      </w:rPr>
      <w:t xml:space="preserve">  State of California—Health and Human Services Agency</w:t>
    </w:r>
  </w:p>
  <w:p w14:paraId="5B139AB0" w14:textId="77777777" w:rsidR="00343EC5" w:rsidRDefault="00343EC5">
    <w:pPr>
      <w:tabs>
        <w:tab w:val="left" w:pos="823"/>
        <w:tab w:val="center" w:pos="5645"/>
        <w:tab w:val="center" w:pos="5760"/>
        <w:tab w:val="right" w:pos="10800"/>
      </w:tabs>
      <w:rPr>
        <w:rFonts w:ascii="Arial Narrow" w:hAnsi="Arial Narrow" w:cs="Arial"/>
        <w:color w:val="000000"/>
        <w:sz w:val="44"/>
      </w:rPr>
    </w:pPr>
    <w:r>
      <w:rPr>
        <w:rFonts w:cs="Arial"/>
        <w:noProof/>
        <w:color w:val="000000"/>
        <w:sz w:val="32"/>
      </w:rPr>
      <w:drawing>
        <wp:anchor distT="0" distB="0" distL="114300" distR="114300" simplePos="0" relativeHeight="251657728" behindDoc="1" locked="0" layoutInCell="1" allowOverlap="1" wp14:anchorId="74271C63" wp14:editId="1B78F788">
          <wp:simplePos x="0" y="0"/>
          <wp:positionH relativeFrom="column">
            <wp:posOffset>5200650</wp:posOffset>
          </wp:positionH>
          <wp:positionV relativeFrom="paragraph">
            <wp:posOffset>140335</wp:posOffset>
          </wp:positionV>
          <wp:extent cx="800100" cy="800100"/>
          <wp:effectExtent l="0" t="0" r="0" b="0"/>
          <wp:wrapNone/>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te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color w:val="000000"/>
        <w:sz w:val="44"/>
      </w:rPr>
      <w:t xml:space="preserve">     Department of Health Care Services</w:t>
    </w:r>
  </w:p>
  <w:p w14:paraId="1A222D0E" w14:textId="77777777" w:rsidR="00343EC5" w:rsidRDefault="00343EC5">
    <w:pPr>
      <w:tabs>
        <w:tab w:val="left" w:pos="823"/>
        <w:tab w:val="center" w:pos="5760"/>
        <w:tab w:val="right" w:pos="10800"/>
      </w:tabs>
      <w:rPr>
        <w:rFonts w:cs="Arial"/>
        <w:color w:val="000000"/>
        <w:sz w:val="32"/>
      </w:rPr>
    </w:pPr>
    <w:r>
      <w:rPr>
        <w:rFonts w:cs="Arial"/>
        <w:color w:val="000000"/>
        <w:sz w:val="32"/>
      </w:rPr>
      <w:tab/>
    </w:r>
  </w:p>
  <w:p w14:paraId="2C2720C5" w14:textId="77777777" w:rsidR="00343EC5" w:rsidRDefault="00343EC5">
    <w:pPr>
      <w:tabs>
        <w:tab w:val="center" w:pos="5760"/>
        <w:tab w:val="left" w:pos="7155"/>
        <w:tab w:val="right" w:pos="10800"/>
      </w:tabs>
      <w:rPr>
        <w:rFonts w:cs="Arial"/>
        <w:color w:val="000000"/>
        <w:sz w:val="32"/>
      </w:rPr>
    </w:pPr>
    <w:r>
      <w:rPr>
        <w:rFonts w:cs="Arial"/>
        <w:color w:val="000000"/>
        <w:sz w:val="32"/>
      </w:rPr>
      <w:tab/>
    </w:r>
  </w:p>
  <w:p w14:paraId="7420DF42" w14:textId="77777777" w:rsidR="00343EC5" w:rsidRDefault="00343EC5">
    <w:pPr>
      <w:tabs>
        <w:tab w:val="center" w:pos="1080"/>
        <w:tab w:val="center" w:pos="10080"/>
      </w:tabs>
      <w:rPr>
        <w:rFonts w:cs="Arial"/>
        <w:b/>
        <w:bCs/>
        <w:sz w:val="16"/>
      </w:rPr>
    </w:pPr>
  </w:p>
  <w:p w14:paraId="2C21E1EF" w14:textId="77777777" w:rsidR="00343EC5" w:rsidRDefault="00343EC5">
    <w:pPr>
      <w:tabs>
        <w:tab w:val="center" w:pos="1080"/>
        <w:tab w:val="center" w:pos="10080"/>
      </w:tabs>
      <w:rPr>
        <w:rFonts w:cs="Arial"/>
        <w:b/>
        <w:bCs/>
        <w:sz w:val="16"/>
      </w:rPr>
    </w:pPr>
  </w:p>
  <w:p w14:paraId="2AE56A83" w14:textId="77777777" w:rsidR="00343EC5" w:rsidRDefault="00343EC5">
    <w:pPr>
      <w:tabs>
        <w:tab w:val="center" w:pos="1080"/>
        <w:tab w:val="center" w:pos="10080"/>
      </w:tabs>
      <w:rPr>
        <w:rFonts w:ascii="Arial Narrow" w:hAnsi="Arial Narrow" w:cs="Arial"/>
        <w:b/>
        <w:bCs/>
        <w:sz w:val="16"/>
      </w:rPr>
    </w:pPr>
    <w:r>
      <w:rPr>
        <w:rFonts w:ascii="Arial Narrow" w:hAnsi="Arial Narrow" w:cs="Arial"/>
        <w:b/>
        <w:bCs/>
        <w:sz w:val="16"/>
      </w:rPr>
      <w:t>MICHELLE BAASS</w:t>
    </w:r>
    <w:r>
      <w:rPr>
        <w:rFonts w:ascii="Arial Narrow" w:hAnsi="Arial Narrow" w:cs="Arial"/>
        <w:b/>
        <w:bCs/>
        <w:sz w:val="16"/>
      </w:rPr>
      <w:tab/>
      <w:t xml:space="preserve">              </w:t>
    </w:r>
    <w:r>
      <w:rPr>
        <w:rFonts w:ascii="Arial Narrow" w:hAnsi="Arial Narrow" w:cs="Arial"/>
        <w:b/>
        <w:bCs/>
        <w:color w:val="000000"/>
        <w:sz w:val="16"/>
      </w:rPr>
      <w:t>GAVIN NEWSOM</w:t>
    </w:r>
  </w:p>
  <w:p w14:paraId="3E33F184" w14:textId="77777777" w:rsidR="00343EC5" w:rsidRDefault="00343EC5">
    <w:pPr>
      <w:tabs>
        <w:tab w:val="center" w:pos="1080"/>
        <w:tab w:val="center" w:pos="10080"/>
      </w:tabs>
      <w:rPr>
        <w:rFonts w:ascii="Arial Narrow" w:hAnsi="Arial Narrow" w:cs="Arial"/>
        <w:i/>
        <w:sz w:val="16"/>
      </w:rPr>
    </w:pPr>
    <w:r>
      <w:rPr>
        <w:rFonts w:ascii="Arial Narrow" w:hAnsi="Arial Narrow" w:cs="Arial"/>
        <w:b/>
        <w:bCs/>
        <w:i/>
        <w:sz w:val="16"/>
      </w:rPr>
      <w:t xml:space="preserve">      </w:t>
    </w:r>
    <w:r>
      <w:rPr>
        <w:rFonts w:ascii="Arial Narrow" w:hAnsi="Arial Narrow" w:cs="Arial"/>
        <w:i/>
        <w:sz w:val="16"/>
      </w:rPr>
      <w:t>DIRECTOR</w:t>
    </w:r>
    <w:r>
      <w:rPr>
        <w:rFonts w:ascii="Arial Narrow" w:hAnsi="Arial Narrow" w:cs="Arial"/>
        <w:i/>
        <w:sz w:val="16"/>
      </w:rPr>
      <w:tab/>
      <w:t xml:space="preserve">                                                                                                                                                                                                               </w:t>
    </w:r>
    <w:r>
      <w:rPr>
        <w:rFonts w:ascii="Arial Narrow" w:hAnsi="Arial Narrow"/>
        <w:bCs/>
        <w:i/>
        <w:iCs/>
        <w:color w:val="000000"/>
        <w:sz w:val="16"/>
      </w:rPr>
      <w:t>GOVERNOR</w:t>
    </w:r>
  </w:p>
  <w:p w14:paraId="69C52B32" w14:textId="77777777" w:rsidR="00343EC5" w:rsidRDefault="00343EC5">
    <w:pPr>
      <w:pStyle w:val="Header"/>
      <w:rPr>
        <w:rFonts w:ascii="Arial Narrow" w:hAnsi="Arial Narrow"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63CD" w14:textId="77777777" w:rsidR="00343EC5" w:rsidRDefault="00105000">
    <w:pPr>
      <w:pStyle w:val="Header"/>
      <w:rPr>
        <w:rFonts w:cs="Arial"/>
      </w:rPr>
    </w:pPr>
    <w:r>
      <w:rPr>
        <w:rFonts w:cs="Arial"/>
        <w:noProof/>
      </w:rPr>
      <w:pict w14:anchorId="0ABCC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343EC5">
      <w:rPr>
        <w:rFonts w:cs="Arial"/>
      </w:rPr>
      <w:t>ALL PLAN LETTER 22-XXX</w:t>
    </w:r>
  </w:p>
  <w:p w14:paraId="7BF15EF9" w14:textId="3FF201AD" w:rsidR="00343EC5" w:rsidRDefault="00343EC5">
    <w:pPr>
      <w:pStyle w:val="Head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881809">
      <w:rPr>
        <w:rFonts w:cs="Arial"/>
        <w:noProof/>
      </w:rPr>
      <w:t>8</w:t>
    </w:r>
    <w:r>
      <w:rPr>
        <w:rFonts w:cs="Arial"/>
        <w:noProof/>
      </w:rPr>
      <w:fldChar w:fldCharType="end"/>
    </w:r>
  </w:p>
  <w:p w14:paraId="75D57CCD" w14:textId="77777777" w:rsidR="00343EC5" w:rsidRDefault="00343EC5">
    <w:pPr>
      <w:pStyle w:val="Header"/>
      <w:rPr>
        <w:rFonts w:cs="Arial"/>
      </w:rPr>
    </w:pPr>
  </w:p>
  <w:p w14:paraId="1A21B88A" w14:textId="77777777" w:rsidR="00343EC5" w:rsidRDefault="00343EC5">
    <w:pPr>
      <w:pStyle w:val="Header"/>
      <w:rPr>
        <w:rFonts w:cs="Arial"/>
      </w:rPr>
    </w:pPr>
  </w:p>
  <w:p w14:paraId="1AB1478C" w14:textId="77777777" w:rsidR="00343EC5" w:rsidRDefault="00343EC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15252"/>
    <w:multiLevelType w:val="hybridMultilevel"/>
    <w:tmpl w:val="C0E6A96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12DF23EB"/>
    <w:multiLevelType w:val="hybridMultilevel"/>
    <w:tmpl w:val="4C4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87330"/>
    <w:multiLevelType w:val="hybridMultilevel"/>
    <w:tmpl w:val="6C7A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70844"/>
    <w:multiLevelType w:val="hybridMultilevel"/>
    <w:tmpl w:val="8B281D40"/>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5B800DB0"/>
    <w:multiLevelType w:val="multilevel"/>
    <w:tmpl w:val="8DA2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B02D7A"/>
    <w:multiLevelType w:val="hybridMultilevel"/>
    <w:tmpl w:val="96082358"/>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16cid:durableId="2076852324">
    <w:abstractNumId w:val="9"/>
  </w:num>
  <w:num w:numId="2" w16cid:durableId="1740325449">
    <w:abstractNumId w:val="7"/>
  </w:num>
  <w:num w:numId="3" w16cid:durableId="1148590784">
    <w:abstractNumId w:val="6"/>
  </w:num>
  <w:num w:numId="4" w16cid:durableId="1791239351">
    <w:abstractNumId w:val="5"/>
  </w:num>
  <w:num w:numId="5" w16cid:durableId="1759018794">
    <w:abstractNumId w:val="4"/>
  </w:num>
  <w:num w:numId="6" w16cid:durableId="1353457663">
    <w:abstractNumId w:val="8"/>
  </w:num>
  <w:num w:numId="7" w16cid:durableId="1285119346">
    <w:abstractNumId w:val="3"/>
  </w:num>
  <w:num w:numId="8" w16cid:durableId="128017191">
    <w:abstractNumId w:val="2"/>
  </w:num>
  <w:num w:numId="9" w16cid:durableId="1157963246">
    <w:abstractNumId w:val="1"/>
  </w:num>
  <w:num w:numId="10" w16cid:durableId="62996893">
    <w:abstractNumId w:val="0"/>
  </w:num>
  <w:num w:numId="11" w16cid:durableId="820459670">
    <w:abstractNumId w:val="10"/>
  </w:num>
  <w:num w:numId="12" w16cid:durableId="853108791">
    <w:abstractNumId w:val="15"/>
  </w:num>
  <w:num w:numId="13" w16cid:durableId="219292915">
    <w:abstractNumId w:val="13"/>
  </w:num>
  <w:num w:numId="14" w16cid:durableId="1462503008">
    <w:abstractNumId w:val="12"/>
  </w:num>
  <w:num w:numId="15" w16cid:durableId="1325085278">
    <w:abstractNumId w:val="11"/>
  </w:num>
  <w:num w:numId="16" w16cid:durableId="11170642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E7"/>
    <w:rsid w:val="000076D4"/>
    <w:rsid w:val="000145E9"/>
    <w:rsid w:val="00043B88"/>
    <w:rsid w:val="000460A7"/>
    <w:rsid w:val="00047952"/>
    <w:rsid w:val="00056A8F"/>
    <w:rsid w:val="000578F5"/>
    <w:rsid w:val="00060D35"/>
    <w:rsid w:val="00072389"/>
    <w:rsid w:val="00083D18"/>
    <w:rsid w:val="00087E4A"/>
    <w:rsid w:val="000972C1"/>
    <w:rsid w:val="000A49A7"/>
    <w:rsid w:val="000A6F66"/>
    <w:rsid w:val="000B3C04"/>
    <w:rsid w:val="000B50F5"/>
    <w:rsid w:val="000D144B"/>
    <w:rsid w:val="000F5F2B"/>
    <w:rsid w:val="00102D5E"/>
    <w:rsid w:val="00105000"/>
    <w:rsid w:val="00111175"/>
    <w:rsid w:val="00112A82"/>
    <w:rsid w:val="00114873"/>
    <w:rsid w:val="00122A52"/>
    <w:rsid w:val="0014641F"/>
    <w:rsid w:val="00152F88"/>
    <w:rsid w:val="00157619"/>
    <w:rsid w:val="00191338"/>
    <w:rsid w:val="001A1391"/>
    <w:rsid w:val="001B7D4E"/>
    <w:rsid w:val="001D3924"/>
    <w:rsid w:val="001D7EE6"/>
    <w:rsid w:val="001F7A56"/>
    <w:rsid w:val="00217624"/>
    <w:rsid w:val="002205EA"/>
    <w:rsid w:val="00223E4E"/>
    <w:rsid w:val="00226AE4"/>
    <w:rsid w:val="00233F50"/>
    <w:rsid w:val="0024031B"/>
    <w:rsid w:val="0027268A"/>
    <w:rsid w:val="00274A6C"/>
    <w:rsid w:val="00281480"/>
    <w:rsid w:val="002931D3"/>
    <w:rsid w:val="002C0AD6"/>
    <w:rsid w:val="002D7B2E"/>
    <w:rsid w:val="002E27D9"/>
    <w:rsid w:val="002E3885"/>
    <w:rsid w:val="002E3CDB"/>
    <w:rsid w:val="002E6F48"/>
    <w:rsid w:val="002E6F72"/>
    <w:rsid w:val="002F3F82"/>
    <w:rsid w:val="00343EC5"/>
    <w:rsid w:val="00370F10"/>
    <w:rsid w:val="00383F84"/>
    <w:rsid w:val="003956E3"/>
    <w:rsid w:val="0039746F"/>
    <w:rsid w:val="00397CDE"/>
    <w:rsid w:val="003D06E7"/>
    <w:rsid w:val="003E445A"/>
    <w:rsid w:val="003F0325"/>
    <w:rsid w:val="003F4C29"/>
    <w:rsid w:val="0041318E"/>
    <w:rsid w:val="00425C16"/>
    <w:rsid w:val="0043567C"/>
    <w:rsid w:val="004545F0"/>
    <w:rsid w:val="00454BCB"/>
    <w:rsid w:val="00457EE1"/>
    <w:rsid w:val="004729EF"/>
    <w:rsid w:val="004936FA"/>
    <w:rsid w:val="004B0A89"/>
    <w:rsid w:val="004C1F39"/>
    <w:rsid w:val="004D3F04"/>
    <w:rsid w:val="004D52BB"/>
    <w:rsid w:val="004E2671"/>
    <w:rsid w:val="004F6A07"/>
    <w:rsid w:val="0053031C"/>
    <w:rsid w:val="00542E37"/>
    <w:rsid w:val="00561689"/>
    <w:rsid w:val="00563418"/>
    <w:rsid w:val="00565425"/>
    <w:rsid w:val="00585480"/>
    <w:rsid w:val="00585C24"/>
    <w:rsid w:val="0059174F"/>
    <w:rsid w:val="005A4762"/>
    <w:rsid w:val="005A7344"/>
    <w:rsid w:val="005B1C7E"/>
    <w:rsid w:val="005B4CE6"/>
    <w:rsid w:val="005B5BE5"/>
    <w:rsid w:val="005D31AE"/>
    <w:rsid w:val="005D33DF"/>
    <w:rsid w:val="005D4CBD"/>
    <w:rsid w:val="005E7621"/>
    <w:rsid w:val="005F01DB"/>
    <w:rsid w:val="006126D2"/>
    <w:rsid w:val="006160F7"/>
    <w:rsid w:val="006258DA"/>
    <w:rsid w:val="00632450"/>
    <w:rsid w:val="00633F18"/>
    <w:rsid w:val="0063419A"/>
    <w:rsid w:val="00634E7A"/>
    <w:rsid w:val="00643EA8"/>
    <w:rsid w:val="00653B62"/>
    <w:rsid w:val="00657EB9"/>
    <w:rsid w:val="00670D37"/>
    <w:rsid w:val="00677E83"/>
    <w:rsid w:val="00684235"/>
    <w:rsid w:val="00685BDF"/>
    <w:rsid w:val="00687A9F"/>
    <w:rsid w:val="006B0E42"/>
    <w:rsid w:val="006B246A"/>
    <w:rsid w:val="006D1C1E"/>
    <w:rsid w:val="006E1EDF"/>
    <w:rsid w:val="006E7D68"/>
    <w:rsid w:val="00712F49"/>
    <w:rsid w:val="00714585"/>
    <w:rsid w:val="007240B8"/>
    <w:rsid w:val="00740EA8"/>
    <w:rsid w:val="007650A0"/>
    <w:rsid w:val="00785B82"/>
    <w:rsid w:val="00795318"/>
    <w:rsid w:val="007E0A26"/>
    <w:rsid w:val="007E523D"/>
    <w:rsid w:val="00804B5F"/>
    <w:rsid w:val="00814F01"/>
    <w:rsid w:val="00850791"/>
    <w:rsid w:val="0085407A"/>
    <w:rsid w:val="008549C5"/>
    <w:rsid w:val="00867269"/>
    <w:rsid w:val="00873A75"/>
    <w:rsid w:val="008756F6"/>
    <w:rsid w:val="00881809"/>
    <w:rsid w:val="008923EF"/>
    <w:rsid w:val="008A0241"/>
    <w:rsid w:val="008A2BDC"/>
    <w:rsid w:val="008A5A02"/>
    <w:rsid w:val="008C6826"/>
    <w:rsid w:val="008D29A8"/>
    <w:rsid w:val="008D2FD5"/>
    <w:rsid w:val="008D3FA9"/>
    <w:rsid w:val="008D7E55"/>
    <w:rsid w:val="008E2EB6"/>
    <w:rsid w:val="008F1E16"/>
    <w:rsid w:val="008F3CE9"/>
    <w:rsid w:val="008F609B"/>
    <w:rsid w:val="00913440"/>
    <w:rsid w:val="00923676"/>
    <w:rsid w:val="00930591"/>
    <w:rsid w:val="0094694C"/>
    <w:rsid w:val="00956F33"/>
    <w:rsid w:val="00960DAE"/>
    <w:rsid w:val="0097162F"/>
    <w:rsid w:val="009743D6"/>
    <w:rsid w:val="00974FBB"/>
    <w:rsid w:val="009851DC"/>
    <w:rsid w:val="009B01A7"/>
    <w:rsid w:val="009B23E5"/>
    <w:rsid w:val="009B3657"/>
    <w:rsid w:val="009B6948"/>
    <w:rsid w:val="009B78F8"/>
    <w:rsid w:val="009D2EE4"/>
    <w:rsid w:val="009D47C2"/>
    <w:rsid w:val="00A05300"/>
    <w:rsid w:val="00A51A6A"/>
    <w:rsid w:val="00A56657"/>
    <w:rsid w:val="00A60D6C"/>
    <w:rsid w:val="00A6106E"/>
    <w:rsid w:val="00A61DEE"/>
    <w:rsid w:val="00A64342"/>
    <w:rsid w:val="00A83891"/>
    <w:rsid w:val="00A85754"/>
    <w:rsid w:val="00A86E23"/>
    <w:rsid w:val="00AA1224"/>
    <w:rsid w:val="00AA73B3"/>
    <w:rsid w:val="00AC38B0"/>
    <w:rsid w:val="00AF33DE"/>
    <w:rsid w:val="00AF58B3"/>
    <w:rsid w:val="00B041E7"/>
    <w:rsid w:val="00B06550"/>
    <w:rsid w:val="00B065AE"/>
    <w:rsid w:val="00B14F99"/>
    <w:rsid w:val="00B16062"/>
    <w:rsid w:val="00B338CF"/>
    <w:rsid w:val="00B4122B"/>
    <w:rsid w:val="00B55021"/>
    <w:rsid w:val="00B56CA0"/>
    <w:rsid w:val="00B63774"/>
    <w:rsid w:val="00B83B7B"/>
    <w:rsid w:val="00B873B6"/>
    <w:rsid w:val="00B969AC"/>
    <w:rsid w:val="00BA4234"/>
    <w:rsid w:val="00BB186B"/>
    <w:rsid w:val="00BB4D84"/>
    <w:rsid w:val="00BB6C19"/>
    <w:rsid w:val="00BC1691"/>
    <w:rsid w:val="00BE6CA2"/>
    <w:rsid w:val="00BF20B5"/>
    <w:rsid w:val="00BF6826"/>
    <w:rsid w:val="00BF6FA0"/>
    <w:rsid w:val="00C0119A"/>
    <w:rsid w:val="00C01699"/>
    <w:rsid w:val="00C1341D"/>
    <w:rsid w:val="00C2677D"/>
    <w:rsid w:val="00C50AE7"/>
    <w:rsid w:val="00C553F0"/>
    <w:rsid w:val="00C567CE"/>
    <w:rsid w:val="00C6552C"/>
    <w:rsid w:val="00C73077"/>
    <w:rsid w:val="00C7769F"/>
    <w:rsid w:val="00C879A8"/>
    <w:rsid w:val="00CC7ED0"/>
    <w:rsid w:val="00CD4D1E"/>
    <w:rsid w:val="00CE1B25"/>
    <w:rsid w:val="00CE2C61"/>
    <w:rsid w:val="00CF1032"/>
    <w:rsid w:val="00D219DD"/>
    <w:rsid w:val="00D22008"/>
    <w:rsid w:val="00D23514"/>
    <w:rsid w:val="00D354DA"/>
    <w:rsid w:val="00D4639B"/>
    <w:rsid w:val="00D52897"/>
    <w:rsid w:val="00D66817"/>
    <w:rsid w:val="00D7119D"/>
    <w:rsid w:val="00D7348A"/>
    <w:rsid w:val="00D91F40"/>
    <w:rsid w:val="00DA5647"/>
    <w:rsid w:val="00DC4FCE"/>
    <w:rsid w:val="00DD2275"/>
    <w:rsid w:val="00DE3F77"/>
    <w:rsid w:val="00DE4EA4"/>
    <w:rsid w:val="00DE7730"/>
    <w:rsid w:val="00DF55C9"/>
    <w:rsid w:val="00E02CFD"/>
    <w:rsid w:val="00E07014"/>
    <w:rsid w:val="00E115A8"/>
    <w:rsid w:val="00E2047C"/>
    <w:rsid w:val="00E441AC"/>
    <w:rsid w:val="00E54C77"/>
    <w:rsid w:val="00E564F1"/>
    <w:rsid w:val="00E72B44"/>
    <w:rsid w:val="00E73D5D"/>
    <w:rsid w:val="00E84515"/>
    <w:rsid w:val="00E93E9E"/>
    <w:rsid w:val="00EA4BA6"/>
    <w:rsid w:val="00EB4C17"/>
    <w:rsid w:val="00EC31AB"/>
    <w:rsid w:val="00EE28C1"/>
    <w:rsid w:val="00EF16BA"/>
    <w:rsid w:val="00EF3AD3"/>
    <w:rsid w:val="00EF4297"/>
    <w:rsid w:val="00F032B3"/>
    <w:rsid w:val="00F17B27"/>
    <w:rsid w:val="00F24253"/>
    <w:rsid w:val="00F31017"/>
    <w:rsid w:val="00F331D3"/>
    <w:rsid w:val="00F429BF"/>
    <w:rsid w:val="00F751F0"/>
    <w:rsid w:val="00FA288A"/>
    <w:rsid w:val="00FA3A82"/>
    <w:rsid w:val="00FB2AEB"/>
    <w:rsid w:val="00FB41F5"/>
    <w:rsid w:val="00FE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7147B0"/>
  <w15:chartTrackingRefBased/>
  <w15:docId w15:val="{8543C160-D797-4C09-A82B-6BAF166E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2"/>
      <w:szCs w:val="20"/>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otnoteReference">
    <w:name w:val="footnote reference"/>
    <w:rPr>
      <w:vertAlign w:val="superscript"/>
    </w:rPr>
  </w:style>
  <w:style w:type="character" w:customStyle="1" w:styleId="CommentTextChar">
    <w:name w:val="Comment Text Char"/>
    <w:link w:val="CommentText"/>
    <w:uiPriority w:val="99"/>
    <w:semiHidde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HeaderChar">
    <w:name w:val="Header Char"/>
    <w:link w:val="Header"/>
    <w:uiPriority w:val="99"/>
    <w:rPr>
      <w:sz w:val="24"/>
      <w:szCs w:val="24"/>
    </w:rPr>
  </w:style>
  <w:style w:type="paragraph" w:styleId="ListParagraph">
    <w:name w:val="List Paragraph"/>
    <w:basedOn w:val="Normal"/>
    <w:uiPriority w:val="34"/>
    <w:qFormat/>
    <w:pPr>
      <w:ind w:left="720"/>
      <w:contextualSpacing/>
    </w:pPr>
    <w:rPr>
      <w:rFonts w:ascii="Times New Roman" w:hAnsi="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Revision">
    <w:name w:val="Revision"/>
    <w:hidden/>
    <w:uiPriority w:val="99"/>
    <w:semiHidden/>
    <w:rPr>
      <w:rFonts w:ascii="Arial" w:hAnsi="Arial"/>
      <w:sz w:val="24"/>
      <w:szCs w:val="24"/>
    </w:rPr>
  </w:style>
  <w:style w:type="character" w:customStyle="1" w:styleId="cohovertext">
    <w:name w:val="co_hover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4702">
      <w:bodyDiv w:val="1"/>
      <w:marLeft w:val="0"/>
      <w:marRight w:val="0"/>
      <w:marTop w:val="0"/>
      <w:marBottom w:val="0"/>
      <w:divBdr>
        <w:top w:val="none" w:sz="0" w:space="0" w:color="auto"/>
        <w:left w:val="none" w:sz="0" w:space="0" w:color="auto"/>
        <w:bottom w:val="none" w:sz="0" w:space="0" w:color="auto"/>
        <w:right w:val="none" w:sz="0" w:space="0" w:color="auto"/>
      </w:divBdr>
      <w:divsChild>
        <w:div w:id="1004287234">
          <w:marLeft w:val="0"/>
          <w:marRight w:val="0"/>
          <w:marTop w:val="0"/>
          <w:marBottom w:val="0"/>
          <w:divBdr>
            <w:top w:val="none" w:sz="0" w:space="0" w:color="auto"/>
            <w:left w:val="none" w:sz="0" w:space="0" w:color="auto"/>
            <w:bottom w:val="none" w:sz="0" w:space="0" w:color="auto"/>
            <w:right w:val="none" w:sz="0" w:space="0" w:color="auto"/>
          </w:divBdr>
          <w:divsChild>
            <w:div w:id="1054431570">
              <w:marLeft w:val="0"/>
              <w:marRight w:val="0"/>
              <w:marTop w:val="0"/>
              <w:marBottom w:val="0"/>
              <w:divBdr>
                <w:top w:val="none" w:sz="0" w:space="0" w:color="auto"/>
                <w:left w:val="none" w:sz="0" w:space="0" w:color="auto"/>
                <w:bottom w:val="none" w:sz="0" w:space="0" w:color="auto"/>
                <w:right w:val="none" w:sz="0" w:space="0" w:color="auto"/>
              </w:divBdr>
              <w:divsChild>
                <w:div w:id="19693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9063">
          <w:marLeft w:val="0"/>
          <w:marRight w:val="0"/>
          <w:marTop w:val="0"/>
          <w:marBottom w:val="0"/>
          <w:divBdr>
            <w:top w:val="none" w:sz="0" w:space="0" w:color="auto"/>
            <w:left w:val="none" w:sz="0" w:space="0" w:color="auto"/>
            <w:bottom w:val="none" w:sz="0" w:space="0" w:color="auto"/>
            <w:right w:val="none" w:sz="0" w:space="0" w:color="auto"/>
          </w:divBdr>
          <w:divsChild>
            <w:div w:id="810295241">
              <w:marLeft w:val="0"/>
              <w:marRight w:val="0"/>
              <w:marTop w:val="0"/>
              <w:marBottom w:val="0"/>
              <w:divBdr>
                <w:top w:val="none" w:sz="0" w:space="0" w:color="auto"/>
                <w:left w:val="none" w:sz="0" w:space="0" w:color="auto"/>
                <w:bottom w:val="none" w:sz="0" w:space="0" w:color="auto"/>
                <w:right w:val="none" w:sz="0" w:space="0" w:color="auto"/>
              </w:divBdr>
              <w:divsChild>
                <w:div w:id="910702594">
                  <w:marLeft w:val="0"/>
                  <w:marRight w:val="0"/>
                  <w:marTop w:val="0"/>
                  <w:marBottom w:val="0"/>
                  <w:divBdr>
                    <w:top w:val="none" w:sz="0" w:space="0" w:color="auto"/>
                    <w:left w:val="none" w:sz="0" w:space="0" w:color="auto"/>
                    <w:bottom w:val="none" w:sz="0" w:space="0" w:color="auto"/>
                    <w:right w:val="none" w:sz="0" w:space="0" w:color="auto"/>
                  </w:divBdr>
                </w:div>
              </w:divsChild>
            </w:div>
            <w:div w:id="1467819481">
              <w:marLeft w:val="0"/>
              <w:marRight w:val="0"/>
              <w:marTop w:val="0"/>
              <w:marBottom w:val="0"/>
              <w:divBdr>
                <w:top w:val="none" w:sz="0" w:space="0" w:color="auto"/>
                <w:left w:val="none" w:sz="0" w:space="0" w:color="auto"/>
                <w:bottom w:val="none" w:sz="0" w:space="0" w:color="auto"/>
                <w:right w:val="none" w:sz="0" w:space="0" w:color="auto"/>
              </w:divBdr>
              <w:divsChild>
                <w:div w:id="407922898">
                  <w:marLeft w:val="0"/>
                  <w:marRight w:val="0"/>
                  <w:marTop w:val="0"/>
                  <w:marBottom w:val="0"/>
                  <w:divBdr>
                    <w:top w:val="none" w:sz="0" w:space="0" w:color="auto"/>
                    <w:left w:val="none" w:sz="0" w:space="0" w:color="auto"/>
                    <w:bottom w:val="none" w:sz="0" w:space="0" w:color="auto"/>
                    <w:right w:val="none" w:sz="0" w:space="0" w:color="auto"/>
                  </w:divBdr>
                  <w:divsChild>
                    <w:div w:id="17103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7784">
              <w:marLeft w:val="0"/>
              <w:marRight w:val="0"/>
              <w:marTop w:val="0"/>
              <w:marBottom w:val="0"/>
              <w:divBdr>
                <w:top w:val="none" w:sz="0" w:space="0" w:color="auto"/>
                <w:left w:val="none" w:sz="0" w:space="0" w:color="auto"/>
                <w:bottom w:val="none" w:sz="0" w:space="0" w:color="auto"/>
                <w:right w:val="none" w:sz="0" w:space="0" w:color="auto"/>
              </w:divBdr>
              <w:divsChild>
                <w:div w:id="687101019">
                  <w:marLeft w:val="0"/>
                  <w:marRight w:val="0"/>
                  <w:marTop w:val="0"/>
                  <w:marBottom w:val="0"/>
                  <w:divBdr>
                    <w:top w:val="none" w:sz="0" w:space="0" w:color="auto"/>
                    <w:left w:val="none" w:sz="0" w:space="0" w:color="auto"/>
                    <w:bottom w:val="none" w:sz="0" w:space="0" w:color="auto"/>
                    <w:right w:val="none" w:sz="0" w:space="0" w:color="auto"/>
                  </w:divBdr>
                  <w:divsChild>
                    <w:div w:id="419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8471">
      <w:bodyDiv w:val="1"/>
      <w:marLeft w:val="0"/>
      <w:marRight w:val="0"/>
      <w:marTop w:val="0"/>
      <w:marBottom w:val="0"/>
      <w:divBdr>
        <w:top w:val="none" w:sz="0" w:space="0" w:color="auto"/>
        <w:left w:val="none" w:sz="0" w:space="0" w:color="auto"/>
        <w:bottom w:val="none" w:sz="0" w:space="0" w:color="auto"/>
        <w:right w:val="none" w:sz="0" w:space="0" w:color="auto"/>
      </w:divBdr>
      <w:divsChild>
        <w:div w:id="1667589394">
          <w:marLeft w:val="0"/>
          <w:marRight w:val="0"/>
          <w:marTop w:val="0"/>
          <w:marBottom w:val="0"/>
          <w:divBdr>
            <w:top w:val="none" w:sz="0" w:space="0" w:color="auto"/>
            <w:left w:val="none" w:sz="0" w:space="0" w:color="auto"/>
            <w:bottom w:val="none" w:sz="0" w:space="0" w:color="auto"/>
            <w:right w:val="none" w:sz="0" w:space="0" w:color="auto"/>
          </w:divBdr>
          <w:divsChild>
            <w:div w:id="1246837677">
              <w:marLeft w:val="0"/>
              <w:marRight w:val="0"/>
              <w:marTop w:val="0"/>
              <w:marBottom w:val="0"/>
              <w:divBdr>
                <w:top w:val="none" w:sz="0" w:space="0" w:color="auto"/>
                <w:left w:val="none" w:sz="0" w:space="0" w:color="auto"/>
                <w:bottom w:val="none" w:sz="0" w:space="0" w:color="auto"/>
                <w:right w:val="none" w:sz="0" w:space="0" w:color="auto"/>
              </w:divBdr>
              <w:divsChild>
                <w:div w:id="11665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3470">
      <w:bodyDiv w:val="1"/>
      <w:marLeft w:val="0"/>
      <w:marRight w:val="0"/>
      <w:marTop w:val="0"/>
      <w:marBottom w:val="0"/>
      <w:divBdr>
        <w:top w:val="none" w:sz="0" w:space="0" w:color="auto"/>
        <w:left w:val="none" w:sz="0" w:space="0" w:color="auto"/>
        <w:bottom w:val="none" w:sz="0" w:space="0" w:color="auto"/>
        <w:right w:val="none" w:sz="0" w:space="0" w:color="auto"/>
      </w:divBdr>
      <w:divsChild>
        <w:div w:id="1347169180">
          <w:marLeft w:val="0"/>
          <w:marRight w:val="0"/>
          <w:marTop w:val="0"/>
          <w:marBottom w:val="0"/>
          <w:divBdr>
            <w:top w:val="none" w:sz="0" w:space="0" w:color="auto"/>
            <w:left w:val="none" w:sz="0" w:space="0" w:color="auto"/>
            <w:bottom w:val="none" w:sz="0" w:space="0" w:color="auto"/>
            <w:right w:val="none" w:sz="0" w:space="0" w:color="auto"/>
          </w:divBdr>
          <w:divsChild>
            <w:div w:id="512770748">
              <w:marLeft w:val="0"/>
              <w:marRight w:val="0"/>
              <w:marTop w:val="0"/>
              <w:marBottom w:val="0"/>
              <w:divBdr>
                <w:top w:val="none" w:sz="0" w:space="0" w:color="auto"/>
                <w:left w:val="none" w:sz="0" w:space="0" w:color="auto"/>
                <w:bottom w:val="none" w:sz="0" w:space="0" w:color="auto"/>
                <w:right w:val="none" w:sz="0" w:space="0" w:color="auto"/>
              </w:divBdr>
              <w:divsChild>
                <w:div w:id="6324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0553">
      <w:bodyDiv w:val="1"/>
      <w:marLeft w:val="0"/>
      <w:marRight w:val="0"/>
      <w:marTop w:val="0"/>
      <w:marBottom w:val="0"/>
      <w:divBdr>
        <w:top w:val="none" w:sz="0" w:space="0" w:color="auto"/>
        <w:left w:val="none" w:sz="0" w:space="0" w:color="auto"/>
        <w:bottom w:val="none" w:sz="0" w:space="0" w:color="auto"/>
        <w:right w:val="none" w:sz="0" w:space="0" w:color="auto"/>
      </w:divBdr>
    </w:div>
    <w:div w:id="1110660199">
      <w:bodyDiv w:val="1"/>
      <w:marLeft w:val="0"/>
      <w:marRight w:val="0"/>
      <w:marTop w:val="0"/>
      <w:marBottom w:val="0"/>
      <w:divBdr>
        <w:top w:val="none" w:sz="0" w:space="0" w:color="auto"/>
        <w:left w:val="none" w:sz="0" w:space="0" w:color="auto"/>
        <w:bottom w:val="none" w:sz="0" w:space="0" w:color="auto"/>
        <w:right w:val="none" w:sz="0" w:space="0" w:color="auto"/>
      </w:divBdr>
      <w:divsChild>
        <w:div w:id="732965399">
          <w:marLeft w:val="0"/>
          <w:marRight w:val="0"/>
          <w:marTop w:val="0"/>
          <w:marBottom w:val="0"/>
          <w:divBdr>
            <w:top w:val="none" w:sz="0" w:space="0" w:color="auto"/>
            <w:left w:val="none" w:sz="0" w:space="0" w:color="auto"/>
            <w:bottom w:val="none" w:sz="0" w:space="0" w:color="auto"/>
            <w:right w:val="none" w:sz="0" w:space="0" w:color="auto"/>
          </w:divBdr>
          <w:divsChild>
            <w:div w:id="1545142386">
              <w:marLeft w:val="0"/>
              <w:marRight w:val="0"/>
              <w:marTop w:val="0"/>
              <w:marBottom w:val="0"/>
              <w:divBdr>
                <w:top w:val="none" w:sz="0" w:space="0" w:color="auto"/>
                <w:left w:val="none" w:sz="0" w:space="0" w:color="auto"/>
                <w:bottom w:val="none" w:sz="0" w:space="0" w:color="auto"/>
                <w:right w:val="none" w:sz="0" w:space="0" w:color="auto"/>
              </w:divBdr>
              <w:divsChild>
                <w:div w:id="13222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6619">
      <w:bodyDiv w:val="1"/>
      <w:marLeft w:val="0"/>
      <w:marRight w:val="0"/>
      <w:marTop w:val="0"/>
      <w:marBottom w:val="0"/>
      <w:divBdr>
        <w:top w:val="none" w:sz="0" w:space="0" w:color="auto"/>
        <w:left w:val="none" w:sz="0" w:space="0" w:color="auto"/>
        <w:bottom w:val="none" w:sz="0" w:space="0" w:color="auto"/>
        <w:right w:val="none" w:sz="0" w:space="0" w:color="auto"/>
      </w:divBdr>
      <w:divsChild>
        <w:div w:id="1993946662">
          <w:marLeft w:val="0"/>
          <w:marRight w:val="0"/>
          <w:marTop w:val="0"/>
          <w:marBottom w:val="0"/>
          <w:divBdr>
            <w:top w:val="none" w:sz="0" w:space="0" w:color="auto"/>
            <w:left w:val="none" w:sz="0" w:space="0" w:color="auto"/>
            <w:bottom w:val="none" w:sz="0" w:space="0" w:color="auto"/>
            <w:right w:val="none" w:sz="0" w:space="0" w:color="auto"/>
          </w:divBdr>
          <w:divsChild>
            <w:div w:id="1395928614">
              <w:marLeft w:val="0"/>
              <w:marRight w:val="0"/>
              <w:marTop w:val="0"/>
              <w:marBottom w:val="0"/>
              <w:divBdr>
                <w:top w:val="none" w:sz="0" w:space="0" w:color="auto"/>
                <w:left w:val="none" w:sz="0" w:space="0" w:color="auto"/>
                <w:bottom w:val="none" w:sz="0" w:space="0" w:color="auto"/>
                <w:right w:val="none" w:sz="0" w:space="0" w:color="auto"/>
              </w:divBdr>
              <w:divsChild>
                <w:div w:id="5054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s://www.dhcs.ca.gov/Documents/MCQMD/Timely-Access-Report.pdf" TargetMode="External"/><Relationship Id="rId3" Type="http://schemas.openxmlformats.org/officeDocument/2006/relationships/hyperlink" Target="https://www.dhcs.ca.gov/provgovpart/Pages/MMCDBoilerplateContracts.aspx" TargetMode="External"/><Relationship Id="rId7" Type="http://schemas.openxmlformats.org/officeDocument/2006/relationships/hyperlink" Target="https://www.dhcs.ca.gov/dataandstats/reports/Pages/MgdCareQualPerfEQRTR.aspx" TargetMode="External"/><Relationship Id="rId2" Type="http://schemas.openxmlformats.org/officeDocument/2006/relationships/hyperlink" Target="https://govt.westlaw.com/calregs/Search/Index" TargetMode="External"/><Relationship Id="rId1" Type="http://schemas.openxmlformats.org/officeDocument/2006/relationships/hyperlink" Target="https://leginfo.legislature.ca.gov/faces/home.xhtml" TargetMode="External"/><Relationship Id="rId6" Type="http://schemas.openxmlformats.org/officeDocument/2006/relationships/hyperlink" Target="https://www.dhcs.ca.gov/formsandpubs/Pages/AllPlanLetters.aspx" TargetMode="External"/><Relationship Id="rId5" Type="http://schemas.openxmlformats.org/officeDocument/2006/relationships/hyperlink" Target="https://leginfo.legislature.ca.gov/faces/billNavClient.xhtml?bill_id=202120220SB221" TargetMode="External"/><Relationship Id="rId4" Type="http://schemas.openxmlformats.org/officeDocument/2006/relationships/hyperlink" Target="https://www.ecfr.gov/current/title-42/chapter-IV/subchapter-C/part-43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4119D212D112438AE25253B4D846AB" ma:contentTypeVersion="6" ma:contentTypeDescription="Create a new document." ma:contentTypeScope="" ma:versionID="91cc35a42484c9c9b2e9ade2ea8181d1">
  <xsd:schema xmlns:xsd="http://www.w3.org/2001/XMLSchema" xmlns:xs="http://www.w3.org/2001/XMLSchema" xmlns:p="http://schemas.microsoft.com/office/2006/metadata/properties" xmlns:ns1="http://schemas.microsoft.com/sharepoint/v3" xmlns:ns3="73800e15-1231-4496-85b6-b6081f58c243" targetNamespace="http://schemas.microsoft.com/office/2006/metadata/properties" ma:root="true" ma:fieldsID="a5089ed539057f3d6e1e2dd1774ed700" ns1:_="" ns3:_="">
    <xsd:import namespace="http://schemas.microsoft.com/sharepoint/v3"/>
    <xsd:import namespace="73800e15-1231-4496-85b6-b6081f58c243"/>
    <xsd:element name="properties">
      <xsd:complexType>
        <xsd:sequence>
          <xsd:element name="documentManagement">
            <xsd:complexType>
              <xsd:all>
                <xsd:element ref="ns1:PublishingStartDate" minOccurs="0"/>
                <xsd:element ref="ns1:PublishingExpirationDate" minOccurs="0"/>
                <xsd:element ref="ns3:Description" minOccurs="0"/>
                <xsd:element ref="ns3:Description1" minOccurs="0"/>
                <xsd:element ref="ns3: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800e15-1231-4496-85b6-b6081f58c243" elementFormDefault="qualified">
    <xsd:import namespace="http://schemas.microsoft.com/office/2006/documentManagement/types"/>
    <xsd:import namespace="http://schemas.microsoft.com/office/infopath/2007/PartnerControls"/>
    <xsd:element name="Description" ma:index="7" nillable="true" ma:displayName="Description" ma:hidden="true" ma:internalName="Description" ma:readOnly="false">
      <xsd:simpleType>
        <xsd:restriction base="dms:Text">
          <xsd:maxLength value="255"/>
        </xsd:restriction>
      </xsd:simpleType>
    </xsd:element>
    <xsd:element name="Description1" ma:index="8" nillable="true" ma:displayName="Description" ma:hidden="true" ma:internalName="Description1" ma:readOnly="false">
      <xsd:simpleType>
        <xsd:restriction base="dms:Text">
          <xsd:maxLength value="255"/>
        </xsd:restriction>
      </xsd:simpleType>
    </xsd:element>
    <xsd:element name="Updated" ma:index="13" nillable="true" ma:displayName="Updated" ma:format="DateOnly" ma:internalName="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 xmlns="73800e15-1231-4496-85b6-b6081f58c243" xsi:nil="true"/>
    <Description1 xmlns="73800e15-1231-4496-85b6-b6081f58c243" xsi:nil="true"/>
    <PublishingExpirationDate xmlns="http://schemas.microsoft.com/sharepoint/v3" xsi:nil="true"/>
    <PublishingStartDate xmlns="http://schemas.microsoft.com/sharepoint/v3" xsi:nil="true"/>
    <Updated xmlns="73800e15-1231-4496-85b6-b6081f58c243" xsi:nil="true"/>
  </documentManagement>
</p:properties>
</file>

<file path=customXml/itemProps1.xml><?xml version="1.0" encoding="utf-8"?>
<ds:datastoreItem xmlns:ds="http://schemas.openxmlformats.org/officeDocument/2006/customXml" ds:itemID="{9F9076EE-D784-477A-95D0-30F379CE9A32}">
  <ds:schemaRefs>
    <ds:schemaRef ds:uri="http://schemas.openxmlformats.org/officeDocument/2006/bibliography"/>
  </ds:schemaRefs>
</ds:datastoreItem>
</file>

<file path=customXml/itemProps2.xml><?xml version="1.0" encoding="utf-8"?>
<ds:datastoreItem xmlns:ds="http://schemas.openxmlformats.org/officeDocument/2006/customXml" ds:itemID="{083665B6-0EFC-4618-A570-677262823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800e15-1231-4496-85b6-b6081f58c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BEE7C-DB27-4077-8F56-15E2C5B1AE6E}">
  <ds:schemaRefs>
    <ds:schemaRef ds:uri="http://schemas.microsoft.com/office/2006/metadata/longProperties"/>
  </ds:schemaRefs>
</ds:datastoreItem>
</file>

<file path=customXml/itemProps4.xml><?xml version="1.0" encoding="utf-8"?>
<ds:datastoreItem xmlns:ds="http://schemas.openxmlformats.org/officeDocument/2006/customXml" ds:itemID="{6904D132-7D82-40D7-832C-CD73DCBDF85C}">
  <ds:schemaRefs>
    <ds:schemaRef ds:uri="http://schemas.microsoft.com/sharepoint/v3/contenttype/forms"/>
  </ds:schemaRefs>
</ds:datastoreItem>
</file>

<file path=customXml/itemProps5.xml><?xml version="1.0" encoding="utf-8"?>
<ds:datastoreItem xmlns:ds="http://schemas.openxmlformats.org/officeDocument/2006/customXml" ds:itemID="{04871A8F-2141-436A-B8D4-08F762646A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3800e15-1231-4496-85b6-b6081f58c2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DHCS Letterhead</vt:lpstr>
    </vt:vector>
  </TitlesOfParts>
  <Company>DHCS and CDPH</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Letterhead</dc:title>
  <dc:subject>DHCS Letterhead Template</dc:subject>
  <dc:creator>Program Support Branch</dc:creator>
  <cp:keywords>letterhead, state seal, DHCS logo</cp:keywords>
  <dc:description/>
  <cp:lastModifiedBy>Coco Baker</cp:lastModifiedBy>
  <cp:revision>2</cp:revision>
  <cp:lastPrinted>2007-06-05T01:42:00Z</cp:lastPrinted>
  <dcterms:created xsi:type="dcterms:W3CDTF">2022-07-06T16:37:00Z</dcterms:created>
  <dcterms:modified xsi:type="dcterms:W3CDTF">2022-07-06T16:37:00Z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Scott, Marquise (ADM-PSB)@DHCS</vt:lpwstr>
  </property>
  <property fmtid="{D5CDD505-2E9C-101B-9397-08002B2CF9AE}" pid="4" name="display_urn:schemas-microsoft-com:office:office#Author">
    <vt:lpwstr>Scott, Marquise (ADM-PSB)@DHCS</vt:lpwstr>
  </property>
</Properties>
</file>